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A" w:rsidRDefault="0031578A">
      <w:pPr>
        <w:pStyle w:val="newncpi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31578A" w:rsidRDefault="0031578A">
      <w:pPr>
        <w:pStyle w:val="newncpi"/>
        <w:ind w:firstLine="0"/>
        <w:jc w:val="center"/>
      </w:pPr>
      <w:r>
        <w:rPr>
          <w:rStyle w:val="datepr"/>
        </w:rPr>
        <w:t>21 декабря 2022 г.</w:t>
      </w:r>
      <w:r>
        <w:rPr>
          <w:rStyle w:val="number"/>
        </w:rPr>
        <w:t xml:space="preserve"> № 716</w:t>
      </w:r>
    </w:p>
    <w:p w:rsidR="0031578A" w:rsidRDefault="0031578A">
      <w:pPr>
        <w:pStyle w:val="titlencpi"/>
      </w:pPr>
      <w:r>
        <w:t>О критериях оценки степени риска</w:t>
      </w:r>
    </w:p>
    <w:p w:rsidR="0031578A" w:rsidRDefault="0031578A">
      <w:pPr>
        <w:pStyle w:val="preamble"/>
      </w:pPr>
      <w:r>
        <w:t>На основании части третьей пункта 9 Указа Президента Республики Беларусь от 16 октября 2009 г. № 510 «О совершенствовании контрольной (надзорной) деятельности в Республике Беларусь» Витебский областной исполнительный комитет РЕШИЛ:</w:t>
      </w:r>
    </w:p>
    <w:p w:rsidR="0031578A" w:rsidRDefault="0031578A">
      <w:pPr>
        <w:pStyle w:val="point"/>
      </w:pPr>
      <w:r>
        <w:t>1. Определить критерии оценки степени риска для отбора проверяемых субъектов при проведении выборочной проверки согласно приложению.</w:t>
      </w:r>
    </w:p>
    <w:p w:rsidR="0031578A" w:rsidRDefault="0031578A">
      <w:pPr>
        <w:pStyle w:val="point"/>
      </w:pPr>
      <w:r>
        <w:t>2. Признать утратившим силу решение Витебского областного исполнительного комитета от 5 января 2022 г. № 5 «О критериях оценки степени риска».</w:t>
      </w:r>
    </w:p>
    <w:p w:rsidR="0031578A" w:rsidRDefault="00315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15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right"/>
            </w:pPr>
            <w:r>
              <w:rPr>
                <w:rStyle w:val="pers"/>
              </w:rPr>
              <w:t>А.М.Субботин</w:t>
            </w:r>
          </w:p>
        </w:tc>
      </w:tr>
      <w:tr w:rsidR="00315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right"/>
            </w:pPr>
            <w:r>
              <w:t> </w:t>
            </w:r>
          </w:p>
        </w:tc>
      </w:tr>
      <w:tr w:rsidR="00315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578A" w:rsidRDefault="0031578A">
            <w:pPr>
              <w:pStyle w:val="newncpi0"/>
              <w:jc w:val="right"/>
            </w:pPr>
            <w:r>
              <w:rPr>
                <w:rStyle w:val="pers"/>
              </w:rPr>
              <w:t>А.В.Сысоев</w:t>
            </w:r>
          </w:p>
        </w:tc>
      </w:tr>
    </w:tbl>
    <w:p w:rsidR="0031578A" w:rsidRDefault="0031578A">
      <w:pPr>
        <w:pStyle w:val="newncpi"/>
      </w:pPr>
      <w:bookmarkStart w:id="0" w:name="_GoBack"/>
      <w:bookmarkEnd w:id="0"/>
      <w:r>
        <w:t> </w:t>
      </w:r>
    </w:p>
    <w:p w:rsidR="0031578A" w:rsidRDefault="0031578A">
      <w:pPr>
        <w:rPr>
          <w:rFonts w:eastAsia="Times New Roman"/>
        </w:rPr>
        <w:sectPr w:rsidR="0031578A" w:rsidSect="0031578A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1578A" w:rsidRDefault="003157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3157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append1"/>
            </w:pPr>
            <w:r>
              <w:t>Приложение</w:t>
            </w:r>
          </w:p>
          <w:p w:rsidR="0031578A" w:rsidRDefault="0031578A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21.12.2022 № 716 </w:t>
            </w:r>
          </w:p>
        </w:tc>
      </w:tr>
    </w:tbl>
    <w:p w:rsidR="0031578A" w:rsidRDefault="0031578A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8088"/>
        <w:gridCol w:w="1843"/>
        <w:gridCol w:w="2887"/>
      </w:tblGrid>
      <w:tr w:rsidR="0031578A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Период, дата оценки</w:t>
            </w:r>
          </w:p>
        </w:tc>
      </w:tr>
      <w:tr w:rsidR="0031578A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78A" w:rsidRDefault="0031578A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 Контроль за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1.1. Наличие рекламной информации в средствах массовой информации о проведении культурно-зрелищного мероприятия до включения организатора в реестр организаторов культурно-зрелищных мероприятий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Предыдущий год, истекший период текущего года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1.2. Наличие в деятельности организатора культурно-зрелищного мероприятия обстоятельств, предусмотренных в пункте 1 статьи 81 Кодекса Республики Беларусь о культуре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1.3. 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1.4. Наличие обоснованных обращений в отношении организатора культурно-зрелищного мероприятия по вопросам нарушения действующего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1.5. Наличие информации об отсутствии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1.6. Наличие информации о привлечении организатора культурно-зрелищного мероприятия к административной ответственности по статье 13.26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На дату составления плана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1.7.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На дату составления плана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 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2.1. Привлечение юридического лица (должностных лиц субъекта) за нарушение законодательства о занятости населения к административной ответственности по основаниям, предусмотренным частями 1 и 2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2.2. 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2.3. 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2.4. 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2.5. 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2.6. 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2.7. 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2.8. 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2.9. 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3.1. Отсутствие информации о результатах очередной (внеочередной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3.2. 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3.3. Привлечение юридических (должностных лиц субъекта)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3.4. Количество рабочих мест с вредными и (или) опасными условиями труда более 50 процентов от общего количества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3.5. 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3.6. Своевременное проведение аттестации рабочих мест по условиям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 Контроль за соблюдением законодательства об оплате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4.1. Привлечение должностных лиц к административной ответственности по основаниям, предусмотренным частями 3, 4 и 6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4.2. Наличие информации, полученной от государственных органов и иных организаций, о нарушениях законодательства об оплате труда, в том числе о фактах выплаты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4.3. Наличие сведений Белстата о выплате заработной платы в размере ниже минимальной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4.4. Наличие обоснованных обращений граждан о нарушениях субъектом законодательства об оплате труда (включая переадресованные в контролирующий (надзорный) орган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4.5. 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4.6. Наличие факта работы свыше 50 процентов работников в режиме неполного рабочего времени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4.7. Наличие факта нахождения свыше 50 процентов работников субъекта в социальных отпусках без сохранения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4.8. 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нарушении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4.9. 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4.10. Наличие обоснованных обращений граждан о фактах выплаты им проверяемым субъектом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 Контроль за соблюдением нотариусами, организационными структурами Белорусской нотариальной палаты (далее – нотариальная палата), законодательства о нотариате, соблюдение нотариусами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 Нотариальная палата: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За два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5.1.1. Наличие в течение календарного года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5.1.2. 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иным органом нотариальной палаты в рамках соблюдения законодательства о нотариате (за исключением обращений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5.1.3. Выявление повторного нарушения в течение года после вынесения Министерством юстиции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5.1.4. 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5.1.5.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5.1.6.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5.1.7.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 Нотариусы: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5.2.1. 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5.2.2. 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5.2.3. 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 (при отсутствии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5.2.4. 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5.2.5. Выявление повторного в течение календарного года нарушения нотариусом правил совершения нотариальных действий и (или) порядка совершения нотариальных действий (за исключением нарушений, выявленных при рассмотрении обращений по вопросу правомерности действий нотариуса в рамках осуществляемой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5.2.6. Неоднократное (два раза в течение одного года) нарушение установленного порядка анкетирования клиентов, предусмотренного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5.2.7. Неоднократное (два и более раза в течение одного года) нарушение установленного порядка регистрации финансовых операций, подлежащих особому контролю, в специальном формуляре и (или) представления такого формуляра в орган финансового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5.2.8. Нарушение установленного порядка фиксации данных, полученных при проведении идентификации участников финансовой операции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5.2.9.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5.2.10.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5.2.11.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 Контроль за использованием и охраной земель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6.1. Наличие информации о неиспользовании земельного участка в течение срока, установленного законодательными актами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6.2. Наличие информации о нецелевом использовании предоставленного земельного участка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6.3. Наличие информации о нарушении порядка снятия, сохранения и использования плодородного слоя при проведении работ, связанных с нарушением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6.4. 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6.5. Наличие информации о нарушении сроков возврата временно занимаемых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 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7.1. Получение и (или) использование бюджетных средств, средств государственных целевых бюджетных фондов, мер государственной поддержки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Критерии 7.1–7.4 применяются за истекший период текущего года, в котором осуществляется формирование плана выборочных проверок, и за два предшествующих ему календарных года, за исключением подпунктов 7.5 и 7.6 настоящего пункта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7.2. Осуществление приносящей доходы деятельности (наличие в бюджетной организации открытого в банке текущего (расчетного) счета по средствам от приносящей доходы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7.3. Использование бюджетных средств, средств государственных целевых бюджетных фондов, мер государственной поддержки на капитальные вложения в основные фонды (статья 40 экономической классификации расходов бюджета), и (или) на текущий ремонт зданий и помещений (элемент 10.10.03 статьи 10 экономической классификации расходов бюджета), и (или) на текущие бюджетные трансферты (статья 30 экономической классификации расходов бюджета), и (или) на капитальные бюджетные трансферты (статья 70 экономической классификации расходов бюджета)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7.4. использование бюджетных средств, средств государственных целевых бюджетных фондов, выделяемых на финансирование государственных программ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7.5. Наличие нарушений по результатам предыдущей проверки субъекта, проведенной Министерством финансов или его территориальным органом, Витебским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7.6. Непроведение Министерством финансов или его территориальным органом, облисполкомом, главным финансовым управлением облисполкома, финансовым управлением (отделом) местного исполнительного и распорядительного органа проверок субъекта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расходов, в течение трех лет (включая текущий год, в котором осуществляется формирование плана выборочных проверок, и два предшествующих ему календарных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8. Контроль за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8.1. 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8.2. 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8.3. Наличие фактов задолженности по платежам в бюджет и государственные внебюджетные фонды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8.4. 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9. Контроль за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9.1. Наличие обоснованных обращений граждан и (или) юридических лиц о нарушениях законодательства о книге замечаний и предложений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9.2. Привлечение должностных лиц проверяемого субъекта за нарушение законодательства о книге замечаний и предложений к административной ответственности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 Контроль за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10.1. Отсутствие паспорта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За календарный год, предшествующий году, в котором формируется план выборочных проверок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10.2. Отсутствие охранной доски на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10.3. Отсутствие охранного обязательства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10.4. Осуществление деятельности, которая может оказать воздействие на историко-культурную ценность категории «3», «без категории»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10.5. Наличие информации о неуплате (несвоевременной и (или) неполной уплате) отчислений, предусмотренных Указом Президента Республики Беларусь от 18 октября 2007 г. № 527 «Аб некаторых пытаннях аховы гiсторыка-культурнай спадчыны»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10.6. Осуществление деятельности, которая может оказать воздействие на историко-культурную ценность категории «0», «1», «2»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10.7. Наличие информации о привлечении к административной ответственности по основаниям, предусмотренным статьями 20.1–20.5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10.8. 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10.9. 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10.10. Ухудшение условий восприятия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10.11. 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10.12. 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10.13. 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10.14.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10.15. 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10.16. Наличие установленных фактов об уничтожении историко-культурных ценностей или создании угрозы их уничтожения, причинении им ущерба или создании угрозы ее причинения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10.17. Наличие заключения Министерства культуры о соответствии принимаемой в эксплуатацию недвижимости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–10 % (по всем критериям оценки степени риска в данной сфере)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 Контроль за соблюдением жилищного законодательства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11.1. Привлечение должностных лиц проверяемого субъекта к административной ответственности за нарушение жилищного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11.2. Наличие обоснованных обращений граждан и (или) юридических лиц о нарушениях жилищного законодательства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11.3. Наличие достоверной информации о нарушениях законодательства субъектом при постановке на учет (снятии с учета) граждан, нуждающихся в улучшении жилищных условий и условий льготного кредитования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11.4. Наличие достоверной информации о нарушениях законодательства со стороны субъекта в части предоставления жилых помещений социального и коммерческого 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11.5.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11.6.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11.7.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 Контроль в области жилищного строительства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12.1. Привлечение должностных лиц проверяемого субъекта к административной ответственности за нарушение законодательства в области жилищного строительства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12.2. Наличие обоснованных обращений граждан и (или) юридических лиц о нарушениях законодательства в области жилищного строительства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 балл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12.3. Неоднократное продление разрешения на строительно-монтажные работы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12.4. 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12.5. Наличие достоверной информации о непроведении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12.6. 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12.7. Отказ застройщика от исполнения обязательств по созданию объекта строительства в связи с невозможностью исполнения принятых обязательств по договорам создания объектов долевого строительства и (или) договору строительства подряда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12.8. Прекращение финансирования застройщиком строительства объекта на срок более трех месяцев (систематические нерасчеты с подрядными организациями за выполненные работы)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12.9. Осуществление самовольного строительства жилых домов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12.10.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12.11.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12.12.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 Контроль за обеспечением качества образования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13.1. Дошкольное образование и специальное образование на уровне дошкольного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13.1.1. Обеспеченность педагогическими кадрами: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доля воспитателей дошкольного образования, имеющих образование по специальности «Дошкольное образование», менее 35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доля воспитателей дошкольного образования, имеющих высшую и первую квалификационную категорию, менее 35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13.1.2. 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13.2. Общее среднее образование и специальное образование на уровне общего среднего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13.2.1. Обеспеченность педагогическими работниками – доля педагогических работников, имеющих высшую и первую квалификационную категорию, менее 50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13.2.2. Государственная аккредитация – отказ в государственной аккредитации (подтверждении)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13.2.3. Жизнеустройство выпускников: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количество выпускников, получивших общее базовое образование, которые нигде не работают и не учатся;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13.2.4. Обеспечение безопасности образовательного процесса – количество учащихся, получивших травмы во время образовательного процесса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13.3. Дополнительное образование детей и молодежи:</w:t>
            </w:r>
          </w:p>
          <w:p w:rsidR="0031578A" w:rsidRDefault="0031578A">
            <w:pPr>
              <w:pStyle w:val="table10"/>
              <w:spacing w:before="120"/>
            </w:pPr>
            <w:r>
              <w:t>13.3.1. Обеспеченность педагогическими кадрами: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укомплектованность педагогическими кадрами в соответствии со штатным расписанием, тарификацией, квалификационными требованиями менее 60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количественный состав педагогических работников, имеющих первую и высшую квалификационную категорию, менее 30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13.4. Профессионально-техническое образование:</w:t>
            </w:r>
          </w:p>
          <w:p w:rsidR="0031578A" w:rsidRDefault="0031578A">
            <w:pPr>
              <w:pStyle w:val="table10"/>
              <w:spacing w:before="120"/>
            </w:pPr>
            <w:r>
              <w:t>13.4.1. Обеспеченность педагогическими кадрами: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13.4.2. Соответствие требованиям и условиям, установленным специальным разрешением (лицензией) на право осуществления образовательной деятельности, – превышение численности обучающихся, установленной лицензией на осуществление образовательной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13.4.3. Государственная аккредитация –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13.4.4. Жизнеустройство обучающихся: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13.5. Среднее специальное образование:</w:t>
            </w:r>
          </w:p>
          <w:p w:rsidR="0031578A" w:rsidRDefault="0031578A">
            <w:pPr>
              <w:pStyle w:val="table10"/>
              <w:spacing w:before="120" w:line="20" w:lineRule="atLeast"/>
            </w:pPr>
            <w:r>
              <w:t>13.5.1. Обеспеченность педагогическими кадрами: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преподавательского состава и работников воспитательного процесса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13.5.2.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превышение общей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13.5.3. Государственная аккредитация: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13.5.4. Жизнеустройство обучающихся: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13.6. Высшее образование:</w:t>
            </w:r>
          </w:p>
          <w:p w:rsidR="0031578A" w:rsidRDefault="0031578A">
            <w:pPr>
              <w:pStyle w:val="table10"/>
              <w:spacing w:before="120"/>
            </w:pPr>
            <w:r>
              <w:t>13.6.1. Обеспеченность педагогическими кадрами: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педагогическими кадрами от общего количества мест, предусмотренных штатным расписанием, менее 70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профессорско-преподавательского состава (ППС) с учеными степенями и званиями от общего количества ППС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13.6.2.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13.6.3. Государственная аккредитация: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подтверждения)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13.6.4. Жизнеустройство студентов: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в дневной форме за счет средств бюджета (в разрезе специальностей) менее 80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13.7. Дополнительное образование взрослых:</w:t>
            </w:r>
          </w:p>
          <w:p w:rsidR="0031578A" w:rsidRDefault="0031578A">
            <w:pPr>
              <w:pStyle w:val="table10"/>
              <w:spacing w:before="120" w:line="20" w:lineRule="atLeast"/>
            </w:pPr>
            <w:r>
              <w:t>13.7.1.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</w:pPr>
            <w:r>
              <w:t>13.7.2. Государственная аккредитация:</w:t>
            </w:r>
          </w:p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/>
              <w:jc w:val="center"/>
            </w:pPr>
            <w:r>
              <w:t> </w:t>
            </w:r>
          </w:p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1,3)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14.1. 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14.2. 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14.3. Проверяемый субъект осуществляет деятельность в сфере бытового обслуживания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14.4. Проверяемый субъект осуществляет деятельность в сфере общественного питания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14.5. 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14.6. 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14.7.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14.8.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14.9.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14.10. 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14.11. 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14.12 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14.13. 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14.14. 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14.15.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14.16.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 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14.17.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14.18. Отсутствие обоснованных жалоб на субъекта в текущем году, а также в течение двух календарных лет, ему предшествующих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 Контроль за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15.4. Наличие достоверной информации о невыполнении организацией застройщиков, гаражными кооперативами и кооперативами, осуществляющими эксплуатацию автомобильных стоянок,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15.6. 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15.9.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15.10.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 Контроль за деятельностью садоводческих товариществ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16.4. Наличие достоверной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16.6. Наличие сведений об осуществлении на территории садоводческих товариществ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16.7. Наличие достоверной информации о несоблюдении членами садоводческого товарищества природоохранного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16.8. Наличие достоверной информации о несоблюдении членами садоводческого товарищества земельного законодательства, включая самовольное занятие земель, несоответствие фактических границ участков правоустанавливающим документам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16.9.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 Контроль за деятельностью товариществ собственников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17.3. Наличие просроченной задолженности по оплате за постановленную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17.4. Наличие достоверной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17.6. Наличие сведений об осуществлении на территории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17.8.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 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18.1. Наличие достоверной информации о реализации проверяемым субъектом фальсифицированных алкогольных напитков, табачных изделий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18.2. Поступление информации от иных контролирующих (надзорных) органов, а также производителей (поставщиков) о просроченной задолженности проверяемого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18.3. 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3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31578A" w:rsidRDefault="003157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578A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18.4. Наличие достоверной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31578A">
        <w:trPr>
          <w:trHeight w:val="20"/>
        </w:trPr>
        <w:tc>
          <w:tcPr>
            <w:tcW w:w="10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18.5. Отсутствие нарушений в работе проверяемого субъекта за предыдущий проверяемый период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78A" w:rsidRDefault="0031578A">
            <w:pPr>
              <w:pStyle w:val="table10"/>
              <w:spacing w:before="120" w:line="20" w:lineRule="atLeast"/>
            </w:pPr>
            <w:r>
              <w:t> </w:t>
            </w:r>
          </w:p>
        </w:tc>
      </w:tr>
    </w:tbl>
    <w:p w:rsidR="0031578A" w:rsidRDefault="0031578A">
      <w:pPr>
        <w:pStyle w:val="newncpi"/>
      </w:pPr>
      <w:r>
        <w:t> </w:t>
      </w:r>
    </w:p>
    <w:p w:rsidR="006905C4" w:rsidRDefault="006905C4"/>
    <w:sectPr w:rsidR="006905C4" w:rsidSect="0031578A">
      <w:pgSz w:w="16838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85" w:rsidRDefault="00636585" w:rsidP="0031578A">
      <w:pPr>
        <w:spacing w:after="0" w:line="240" w:lineRule="auto"/>
      </w:pPr>
      <w:r>
        <w:separator/>
      </w:r>
    </w:p>
  </w:endnote>
  <w:endnote w:type="continuationSeparator" w:id="0">
    <w:p w:rsidR="00636585" w:rsidRDefault="00636585" w:rsidP="0031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85" w:rsidRDefault="00636585" w:rsidP="0031578A">
      <w:pPr>
        <w:spacing w:after="0" w:line="240" w:lineRule="auto"/>
      </w:pPr>
      <w:r>
        <w:separator/>
      </w:r>
    </w:p>
  </w:footnote>
  <w:footnote w:type="continuationSeparator" w:id="0">
    <w:p w:rsidR="00636585" w:rsidRDefault="00636585" w:rsidP="0031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A" w:rsidRDefault="0031578A" w:rsidP="009E10F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578A" w:rsidRDefault="003157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A" w:rsidRPr="0031578A" w:rsidRDefault="0031578A" w:rsidP="009E10F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31578A">
      <w:rPr>
        <w:rStyle w:val="a9"/>
        <w:rFonts w:ascii="Times New Roman" w:hAnsi="Times New Roman" w:cs="Times New Roman"/>
        <w:sz w:val="24"/>
      </w:rPr>
      <w:fldChar w:fldCharType="begin"/>
    </w:r>
    <w:r w:rsidRPr="0031578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31578A">
      <w:rPr>
        <w:rStyle w:val="a9"/>
        <w:rFonts w:ascii="Times New Roman" w:hAnsi="Times New Roman" w:cs="Times New Roman"/>
        <w:sz w:val="24"/>
      </w:rPr>
      <w:fldChar w:fldCharType="separate"/>
    </w:r>
    <w:r w:rsidR="00AF5BCE">
      <w:rPr>
        <w:rStyle w:val="a9"/>
        <w:rFonts w:ascii="Times New Roman" w:hAnsi="Times New Roman" w:cs="Times New Roman"/>
        <w:noProof/>
        <w:sz w:val="24"/>
      </w:rPr>
      <w:t>7</w:t>
    </w:r>
    <w:r w:rsidRPr="0031578A">
      <w:rPr>
        <w:rStyle w:val="a9"/>
        <w:rFonts w:ascii="Times New Roman" w:hAnsi="Times New Roman" w:cs="Times New Roman"/>
        <w:sz w:val="24"/>
      </w:rPr>
      <w:fldChar w:fldCharType="end"/>
    </w:r>
  </w:p>
  <w:p w:rsidR="0031578A" w:rsidRPr="0031578A" w:rsidRDefault="0031578A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8A"/>
    <w:rsid w:val="0031578A"/>
    <w:rsid w:val="00636585"/>
    <w:rsid w:val="006905C4"/>
    <w:rsid w:val="00AF5BCE"/>
    <w:rsid w:val="00D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62D99-90E1-4855-9F9A-F4C5A7B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78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578A"/>
    <w:rPr>
      <w:color w:val="154C94"/>
      <w:u w:val="single"/>
    </w:rPr>
  </w:style>
  <w:style w:type="paragraph" w:customStyle="1" w:styleId="article">
    <w:name w:val="article"/>
    <w:basedOn w:val="a"/>
    <w:rsid w:val="0031578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315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5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5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1578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578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157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578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15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1578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1578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1578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578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157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157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1578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578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5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15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1578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1578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1578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1578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578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157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578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578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1578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1578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5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578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1578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1578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578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1578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15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1578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1578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1578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1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1578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5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5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578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578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5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578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578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578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578A"/>
    <w:rPr>
      <w:rFonts w:ascii="Symbol" w:hAnsi="Symbol" w:hint="default"/>
    </w:rPr>
  </w:style>
  <w:style w:type="character" w:customStyle="1" w:styleId="onewind3">
    <w:name w:val="onewind3"/>
    <w:basedOn w:val="a0"/>
    <w:rsid w:val="0031578A"/>
    <w:rPr>
      <w:rFonts w:ascii="Wingdings 3" w:hAnsi="Wingdings 3" w:hint="default"/>
    </w:rPr>
  </w:style>
  <w:style w:type="character" w:customStyle="1" w:styleId="onewind2">
    <w:name w:val="onewind2"/>
    <w:basedOn w:val="a0"/>
    <w:rsid w:val="0031578A"/>
    <w:rPr>
      <w:rFonts w:ascii="Wingdings 2" w:hAnsi="Wingdings 2" w:hint="default"/>
    </w:rPr>
  </w:style>
  <w:style w:type="character" w:customStyle="1" w:styleId="onewind">
    <w:name w:val="onewind"/>
    <w:basedOn w:val="a0"/>
    <w:rsid w:val="0031578A"/>
    <w:rPr>
      <w:rFonts w:ascii="Wingdings" w:hAnsi="Wingdings" w:hint="default"/>
    </w:rPr>
  </w:style>
  <w:style w:type="character" w:customStyle="1" w:styleId="rednoun">
    <w:name w:val="rednoun"/>
    <w:basedOn w:val="a0"/>
    <w:rsid w:val="0031578A"/>
  </w:style>
  <w:style w:type="character" w:customStyle="1" w:styleId="post">
    <w:name w:val="post"/>
    <w:basedOn w:val="a0"/>
    <w:rsid w:val="00315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5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578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578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578A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578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8A"/>
  </w:style>
  <w:style w:type="paragraph" w:styleId="a7">
    <w:name w:val="footer"/>
    <w:basedOn w:val="a"/>
    <w:link w:val="a8"/>
    <w:uiPriority w:val="99"/>
    <w:unhideWhenUsed/>
    <w:rsid w:val="0031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8A"/>
  </w:style>
  <w:style w:type="character" w:styleId="a9">
    <w:name w:val="page number"/>
    <w:basedOn w:val="a0"/>
    <w:uiPriority w:val="99"/>
    <w:semiHidden/>
    <w:unhideWhenUsed/>
    <w:rsid w:val="0031578A"/>
  </w:style>
  <w:style w:type="table" w:styleId="aa">
    <w:name w:val="Table Grid"/>
    <w:basedOn w:val="a1"/>
    <w:uiPriority w:val="59"/>
    <w:rsid w:val="003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2023-10-17T13:09:00Z</dcterms:created>
  <dcterms:modified xsi:type="dcterms:W3CDTF">2023-10-17T13:55:00Z</dcterms:modified>
</cp:coreProperties>
</file>