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A9B65" w14:textId="77777777" w:rsidR="00814E42" w:rsidRDefault="00814E42">
      <w:pPr>
        <w:pStyle w:val="newncpi0"/>
        <w:jc w:val="center"/>
        <w:divId w:val="1108356636"/>
      </w:pPr>
      <w:bookmarkStart w:id="0" w:name="_GoBack"/>
      <w:bookmarkEnd w:id="0"/>
      <w:r>
        <w:t> </w:t>
      </w:r>
    </w:p>
    <w:tbl>
      <w:tblPr>
        <w:tblW w:w="5000" w:type="pct"/>
        <w:tblCellMar>
          <w:left w:w="0" w:type="dxa"/>
          <w:right w:w="0" w:type="dxa"/>
        </w:tblCellMar>
        <w:tblLook w:val="04A0" w:firstRow="1" w:lastRow="0" w:firstColumn="1" w:lastColumn="0" w:noHBand="0" w:noVBand="1"/>
      </w:tblPr>
      <w:tblGrid>
        <w:gridCol w:w="7479"/>
        <w:gridCol w:w="2493"/>
      </w:tblGrid>
      <w:tr w:rsidR="00146D3B" w14:paraId="71194F44" w14:textId="77777777" w:rsidTr="00146D3B">
        <w:trPr>
          <w:divId w:val="1108356636"/>
        </w:trPr>
        <w:tc>
          <w:tcPr>
            <w:tcW w:w="3750" w:type="pct"/>
            <w:tcBorders>
              <w:top w:val="nil"/>
              <w:left w:val="nil"/>
              <w:bottom w:val="nil"/>
              <w:right w:val="nil"/>
            </w:tcBorders>
            <w:tcMar>
              <w:top w:w="0" w:type="dxa"/>
              <w:left w:w="6" w:type="dxa"/>
              <w:bottom w:w="0" w:type="dxa"/>
              <w:right w:w="6" w:type="dxa"/>
            </w:tcMar>
            <w:hideMark/>
          </w:tcPr>
          <w:p w14:paraId="16483787" w14:textId="77777777" w:rsidR="00146D3B" w:rsidRDefault="00146D3B" w:rsidP="003013DF">
            <w:pPr>
              <w:pStyle w:val="newncpi"/>
            </w:pPr>
            <w:bookmarkStart w:id="1" w:name="a1"/>
            <w:bookmarkEnd w:id="1"/>
            <w:r>
              <w:t> </w:t>
            </w:r>
          </w:p>
        </w:tc>
        <w:tc>
          <w:tcPr>
            <w:tcW w:w="1250" w:type="pct"/>
            <w:tcBorders>
              <w:top w:val="nil"/>
              <w:left w:val="nil"/>
              <w:bottom w:val="nil"/>
              <w:right w:val="nil"/>
            </w:tcBorders>
            <w:tcMar>
              <w:top w:w="0" w:type="dxa"/>
              <w:left w:w="6" w:type="dxa"/>
              <w:bottom w:w="0" w:type="dxa"/>
              <w:right w:w="6" w:type="dxa"/>
            </w:tcMar>
            <w:hideMark/>
          </w:tcPr>
          <w:p w14:paraId="6B86F49B" w14:textId="77777777" w:rsidR="00146D3B" w:rsidRDefault="00146D3B" w:rsidP="003013DF">
            <w:pPr>
              <w:pStyle w:val="capu1"/>
            </w:pPr>
            <w:r>
              <w:t>УТВЕРЖДЕНО</w:t>
            </w:r>
          </w:p>
          <w:p w14:paraId="3362D1D9" w14:textId="77777777" w:rsidR="00146D3B" w:rsidRDefault="00C854AC" w:rsidP="003013DF">
            <w:pPr>
              <w:pStyle w:val="cap1"/>
            </w:pPr>
            <w:hyperlink w:anchor="a1" w:tooltip="+" w:history="1">
              <w:r w:rsidR="00146D3B">
                <w:rPr>
                  <w:rStyle w:val="a3"/>
                </w:rPr>
                <w:t>Постановление</w:t>
              </w:r>
            </w:hyperlink>
            <w:r w:rsidR="00146D3B">
              <w:t xml:space="preserve"> </w:t>
            </w:r>
            <w:r w:rsidR="00146D3B">
              <w:br/>
              <w:t xml:space="preserve">Совета Министров </w:t>
            </w:r>
            <w:r w:rsidR="00146D3B">
              <w:br/>
              <w:t>Республики Беларусь</w:t>
            </w:r>
            <w:r w:rsidR="00146D3B">
              <w:br/>
              <w:t>30.06.2020 № 388</w:t>
            </w:r>
          </w:p>
        </w:tc>
      </w:tr>
    </w:tbl>
    <w:p w14:paraId="7302D0F2" w14:textId="77777777" w:rsidR="00146D3B" w:rsidRDefault="00146D3B" w:rsidP="00146D3B">
      <w:pPr>
        <w:pStyle w:val="titleu"/>
        <w:divId w:val="1108356636"/>
      </w:pPr>
      <w:r>
        <w:t>ПОЛОЖЕНИЕ</w:t>
      </w:r>
      <w:r>
        <w:br/>
        <w:t>о порядке обеспечения организациями, осуществляющими розничную торговлю, сбора от физических лиц товаров, утративших потребительские свойства, и отходов упаковки в местах их реализации (ремонта, технического обслуживания)</w:t>
      </w:r>
    </w:p>
    <w:p w14:paraId="4E16CDD2" w14:textId="77777777" w:rsidR="00146D3B" w:rsidRDefault="00146D3B" w:rsidP="00146D3B">
      <w:pPr>
        <w:pStyle w:val="point"/>
        <w:divId w:val="1108356636"/>
      </w:pPr>
      <w:r>
        <w:t xml:space="preserve">1. Настоящим Положением определяется порядок обеспечения организациями, осуществляющими розничную торговлю (далее – организации торговли), сбора от физических лиц товаров, утративших потребительские свойства, и отходов упаковки согласно </w:t>
      </w:r>
      <w:hyperlink w:anchor="a108" w:tooltip="+" w:history="1">
        <w:r>
          <w:rPr>
            <w:rStyle w:val="a3"/>
          </w:rPr>
          <w:t>приложению</w:t>
        </w:r>
      </w:hyperlink>
      <w:r>
        <w:t xml:space="preserve"> (далее, если не предусмотрено иное, – отходы товаров и упаковки) в местах их реализации (ремонта, технического обслуживания).</w:t>
      </w:r>
    </w:p>
    <w:p w14:paraId="5BE2DF82" w14:textId="77777777" w:rsidR="00146D3B" w:rsidRDefault="00146D3B" w:rsidP="00146D3B">
      <w:pPr>
        <w:pStyle w:val="point"/>
        <w:divId w:val="1108356636"/>
      </w:pPr>
      <w:r>
        <w:t>2. Сбор отходов товаров и упаковки обеспечивается организациями торговли в местах их реализации (ремонта, технического обслуживания) на территории торговых объектов, в которых осуществляется розничная торговля (далее – торговый объект), или прилегающей к ним территории с учетом санитарно-эпидемиологических, противопожарных, природоохранных и иных требований законодательства, в том числе обязательных для соблюдения требований технических нормативных правовых актов.</w:t>
      </w:r>
    </w:p>
    <w:p w14:paraId="29A55F7C" w14:textId="77777777" w:rsidR="00146D3B" w:rsidRDefault="00146D3B" w:rsidP="00146D3B">
      <w:pPr>
        <w:pStyle w:val="point"/>
        <w:divId w:val="1108356636"/>
      </w:pPr>
      <w:r>
        <w:t>3. Сбор отходов товаров и упаковки может осуществляться организациями торговли самостоятельно или с привлечением юридических лиц и (или) индивидуальных предпринимателей.</w:t>
      </w:r>
    </w:p>
    <w:p w14:paraId="484CE90B" w14:textId="77777777" w:rsidR="00146D3B" w:rsidRDefault="00146D3B" w:rsidP="00146D3B">
      <w:pPr>
        <w:pStyle w:val="point"/>
        <w:divId w:val="1108356636"/>
      </w:pPr>
      <w:r>
        <w:t>4. Сбор электрического и электронного оборудования (далее – ЭЭО), утратившего потребительские свойства, осуществляется:</w:t>
      </w:r>
    </w:p>
    <w:p w14:paraId="49953266" w14:textId="77777777" w:rsidR="00146D3B" w:rsidRDefault="00146D3B" w:rsidP="00146D3B">
      <w:pPr>
        <w:pStyle w:val="newncpi"/>
        <w:divId w:val="1108356636"/>
      </w:pPr>
      <w:r>
        <w:t>в специализированных, узкоспециализированных непродовольственных магазинах, неспециализированных магазинах с комбинированным ассортиментом непродовольственных товаров с торговой площадью 500 кв. метров и более;</w:t>
      </w:r>
    </w:p>
    <w:p w14:paraId="7BBB4001" w14:textId="77777777" w:rsidR="00146D3B" w:rsidRDefault="00146D3B" w:rsidP="00146D3B">
      <w:pPr>
        <w:pStyle w:val="newncpi"/>
        <w:divId w:val="1108356636"/>
      </w:pPr>
      <w:r>
        <w:t>в магазинах с универсальным ассортиментом непродовольственных товаров с торговой площадью 1000 кв. метров и более.</w:t>
      </w:r>
    </w:p>
    <w:p w14:paraId="5993551B" w14:textId="77777777" w:rsidR="00146D3B" w:rsidRDefault="00146D3B" w:rsidP="00146D3B">
      <w:pPr>
        <w:pStyle w:val="point"/>
        <w:divId w:val="1108356636"/>
      </w:pPr>
      <w:r>
        <w:t>5. Сбор ламп газоразрядных ртутьсодержащих, утративших потребительские свойства, осуществляется в непродовольственных магазинах с торговой площадью 400 кв. метров и более.</w:t>
      </w:r>
    </w:p>
    <w:p w14:paraId="0434D8A2" w14:textId="77777777" w:rsidR="00146D3B" w:rsidRDefault="00146D3B" w:rsidP="00146D3B">
      <w:pPr>
        <w:pStyle w:val="point"/>
        <w:divId w:val="1108356636"/>
      </w:pPr>
      <w:r>
        <w:t>6. Сбор элементов питания (батареек), утративших потребительские свойства, осуществляется в торговых объектах с торговой площадью 100 кв. метров и более.</w:t>
      </w:r>
    </w:p>
    <w:p w14:paraId="7A6780EF" w14:textId="77777777" w:rsidR="00146D3B" w:rsidRDefault="00146D3B" w:rsidP="00146D3B">
      <w:pPr>
        <w:pStyle w:val="point"/>
        <w:divId w:val="1108356636"/>
      </w:pPr>
      <w:r>
        <w:t>7. Сбор отходов упаковки осуществляется в отдельно стоящих продовольственных и непродовольственных магазинах с торговой площадью 1000 кв. метров и более.</w:t>
      </w:r>
    </w:p>
    <w:p w14:paraId="6FCA58F7" w14:textId="77777777" w:rsidR="00146D3B" w:rsidRDefault="00146D3B" w:rsidP="00146D3B">
      <w:pPr>
        <w:pStyle w:val="point"/>
        <w:divId w:val="1108356636"/>
      </w:pPr>
      <w:r>
        <w:t>8. Сбор крупногабаритного и среднегабаритного ЭЭО, утратившего потребительские свойства, может осуществляться следующими способами:</w:t>
      </w:r>
    </w:p>
    <w:p w14:paraId="40C3FD95" w14:textId="77777777" w:rsidR="00146D3B" w:rsidRDefault="00146D3B" w:rsidP="00146D3B">
      <w:pPr>
        <w:pStyle w:val="newncpi"/>
        <w:divId w:val="1108356636"/>
      </w:pPr>
      <w:r>
        <w:lastRenderedPageBreak/>
        <w:t>путем отведения специальных мест или установки специальных контейнеров на территории торговых объектов или прилегающей к ним территории для самостоятельного размещения физическими лицами отходов товаров;</w:t>
      </w:r>
    </w:p>
    <w:p w14:paraId="39E40EBA" w14:textId="77777777" w:rsidR="00146D3B" w:rsidRDefault="00146D3B" w:rsidP="00146D3B">
      <w:pPr>
        <w:pStyle w:val="newncpi"/>
        <w:divId w:val="1108356636"/>
      </w:pPr>
      <w:r>
        <w:t>путем обеспечения возможности передать отходы товаров уполномоченному работнику торгового объекта.</w:t>
      </w:r>
    </w:p>
    <w:p w14:paraId="7D15C7FD" w14:textId="77777777" w:rsidR="00146D3B" w:rsidRDefault="00146D3B" w:rsidP="00146D3B">
      <w:pPr>
        <w:pStyle w:val="point"/>
        <w:divId w:val="1108356636"/>
      </w:pPr>
      <w:r>
        <w:t>9. Сбор мелкогабаритного ЭЭО, ламп газоразрядных ртутьсодержащих, элементов питания (батареек), утративших потребительские свойства, может осуществляться следующими способами:</w:t>
      </w:r>
    </w:p>
    <w:p w14:paraId="47A62D9F" w14:textId="77777777" w:rsidR="00146D3B" w:rsidRDefault="00146D3B" w:rsidP="00146D3B">
      <w:pPr>
        <w:pStyle w:val="newncpi"/>
        <w:divId w:val="1108356636"/>
      </w:pPr>
      <w:r>
        <w:t>путем установки специальных контейнеров, исключающих возможность механического повреждения ламп газоразрядных ртутьсодержащих, на территории торговых объектов для самостоятельного размещения физическими лицами отходов товаров;</w:t>
      </w:r>
    </w:p>
    <w:p w14:paraId="4D30F837" w14:textId="77777777" w:rsidR="00146D3B" w:rsidRDefault="00146D3B" w:rsidP="00146D3B">
      <w:pPr>
        <w:pStyle w:val="newncpi"/>
        <w:divId w:val="1108356636"/>
      </w:pPr>
      <w:r>
        <w:t>путем обеспечения возможности передать отходы товаров уполномоченному работнику торгового объекта.</w:t>
      </w:r>
    </w:p>
    <w:p w14:paraId="6AAF2C72" w14:textId="77777777" w:rsidR="00146D3B" w:rsidRDefault="00146D3B" w:rsidP="00146D3B">
      <w:pPr>
        <w:pStyle w:val="point"/>
        <w:divId w:val="1108356636"/>
      </w:pPr>
      <w:r>
        <w:t>10. Сбор отходов упаковки осуществляется путем установки на прилегающей к торговым объектам территории специальных контейнеров для самостоятельного размещения физическими лицами таких отходов, позволяющих осуществлять раздельный сбор отходов полимерной, стеклянной, бумажной и картонной упаковки.</w:t>
      </w:r>
    </w:p>
    <w:p w14:paraId="5D4902C7" w14:textId="77777777" w:rsidR="00146D3B" w:rsidRDefault="00146D3B" w:rsidP="00146D3B">
      <w:pPr>
        <w:pStyle w:val="point"/>
        <w:divId w:val="1108356636"/>
      </w:pPr>
      <w:r>
        <w:t>11. Организации торговли должны обеспечивать свободный доступ физических лиц к местам сбора отходов товаров и упаковки в соответствии с режимом работы торгового объекта, а также осуществлять мониторинг наполняемости установленных контейнеров.</w:t>
      </w:r>
    </w:p>
    <w:p w14:paraId="54FC85AD" w14:textId="77777777" w:rsidR="00146D3B" w:rsidRDefault="00146D3B" w:rsidP="00146D3B">
      <w:pPr>
        <w:pStyle w:val="point"/>
        <w:divId w:val="1108356636"/>
      </w:pPr>
      <w:r>
        <w:t>12. В местах сбора отходов товаров и упаковки устанавливаются информационные стенды с указанием видов отходов товаров и упаковки, сбор которых осуществляется.</w:t>
      </w:r>
    </w:p>
    <w:p w14:paraId="76A12193" w14:textId="77777777" w:rsidR="00146D3B" w:rsidRDefault="00146D3B" w:rsidP="00146D3B">
      <w:pPr>
        <w:pStyle w:val="newncpi"/>
        <w:divId w:val="1108356636"/>
      </w:pPr>
      <w:r>
        <w:t>Не допускается размещение отходов производства, в том числе образовавшихся у организаций торговли, в местах сбора отходов товаров и упаковки.</w:t>
      </w:r>
    </w:p>
    <w:p w14:paraId="1E91FB8A" w14:textId="7D11198C" w:rsidR="00146D3B" w:rsidRDefault="00146D3B" w:rsidP="00146D3B">
      <w:pPr>
        <w:pStyle w:val="point"/>
        <w:divId w:val="1108356636"/>
      </w:pPr>
      <w:r>
        <w:t xml:space="preserve">13. Собранные организациями торговли отходы товаров и упаковки подлежат передаче на обезвреживание и (или) использование либо удалению иным способом с учетом требований </w:t>
      </w:r>
      <w:hyperlink r:id="rId4" w:anchor="a49" w:tooltip="+" w:history="1">
        <w:r>
          <w:rPr>
            <w:rStyle w:val="a3"/>
          </w:rPr>
          <w:t>Закона</w:t>
        </w:r>
      </w:hyperlink>
      <w:r>
        <w:t xml:space="preserve"> Республики Беларусь от 20 июля 2007 г. № 271-З «Об обращении с отходами».</w:t>
      </w:r>
    </w:p>
    <w:p w14:paraId="616BAFC7" w14:textId="77777777" w:rsidR="00146D3B" w:rsidRDefault="00146D3B" w:rsidP="00146D3B">
      <w:pPr>
        <w:pStyle w:val="newncpi"/>
        <w:divId w:val="1108356636"/>
      </w:pPr>
      <w:r>
        <w:t> </w:t>
      </w:r>
    </w:p>
    <w:tbl>
      <w:tblPr>
        <w:tblW w:w="5000" w:type="pct"/>
        <w:tblCellMar>
          <w:left w:w="0" w:type="dxa"/>
          <w:right w:w="0" w:type="dxa"/>
        </w:tblCellMar>
        <w:tblLook w:val="04A0" w:firstRow="1" w:lastRow="0" w:firstColumn="1" w:lastColumn="0" w:noHBand="0" w:noVBand="1"/>
      </w:tblPr>
      <w:tblGrid>
        <w:gridCol w:w="5742"/>
        <w:gridCol w:w="4230"/>
      </w:tblGrid>
      <w:tr w:rsidR="00146D3B" w14:paraId="3734FB6E" w14:textId="77777777" w:rsidTr="00146D3B">
        <w:trPr>
          <w:divId w:val="1108356636"/>
        </w:trPr>
        <w:tc>
          <w:tcPr>
            <w:tcW w:w="2879" w:type="pct"/>
            <w:tcBorders>
              <w:top w:val="nil"/>
              <w:left w:val="nil"/>
              <w:bottom w:val="nil"/>
              <w:right w:val="nil"/>
            </w:tcBorders>
            <w:tcMar>
              <w:top w:w="0" w:type="dxa"/>
              <w:left w:w="6" w:type="dxa"/>
              <w:bottom w:w="0" w:type="dxa"/>
              <w:right w:w="6" w:type="dxa"/>
            </w:tcMar>
            <w:hideMark/>
          </w:tcPr>
          <w:p w14:paraId="7B434C8A" w14:textId="77777777" w:rsidR="00146D3B" w:rsidRDefault="00146D3B" w:rsidP="003013DF">
            <w:pPr>
              <w:pStyle w:val="newncpi"/>
            </w:pPr>
            <w:r>
              <w:t> </w:t>
            </w:r>
          </w:p>
        </w:tc>
        <w:tc>
          <w:tcPr>
            <w:tcW w:w="2121" w:type="pct"/>
            <w:tcBorders>
              <w:top w:val="nil"/>
              <w:left w:val="nil"/>
              <w:bottom w:val="nil"/>
              <w:right w:val="nil"/>
            </w:tcBorders>
            <w:tcMar>
              <w:top w:w="0" w:type="dxa"/>
              <w:left w:w="6" w:type="dxa"/>
              <w:bottom w:w="0" w:type="dxa"/>
              <w:right w:w="6" w:type="dxa"/>
            </w:tcMar>
            <w:hideMark/>
          </w:tcPr>
          <w:p w14:paraId="5FDC55DF" w14:textId="77777777" w:rsidR="00146D3B" w:rsidRDefault="00146D3B" w:rsidP="003013DF">
            <w:pPr>
              <w:pStyle w:val="append1"/>
            </w:pPr>
            <w:r>
              <w:t>Приложение</w:t>
            </w:r>
          </w:p>
          <w:p w14:paraId="22D74313" w14:textId="77777777" w:rsidR="00146D3B" w:rsidRDefault="00146D3B" w:rsidP="003013DF">
            <w:pPr>
              <w:pStyle w:val="append"/>
            </w:pPr>
            <w:r>
              <w:t xml:space="preserve">к </w:t>
            </w:r>
            <w:hyperlink w:anchor="a9" w:tooltip="+" w:history="1">
              <w:r>
                <w:rPr>
                  <w:rStyle w:val="a3"/>
                </w:rPr>
                <w:t>Положению</w:t>
              </w:r>
            </w:hyperlink>
            <w:r>
              <w:t xml:space="preserve"> о порядке обеспечения </w:t>
            </w:r>
            <w:r>
              <w:br/>
              <w:t xml:space="preserve">организациями, осуществляющими </w:t>
            </w:r>
            <w:r>
              <w:br/>
              <w:t xml:space="preserve">розничную торговлю, сбора </w:t>
            </w:r>
            <w:r>
              <w:br/>
              <w:t xml:space="preserve">от физических лиц товаров, утративших </w:t>
            </w:r>
            <w:r>
              <w:br/>
              <w:t xml:space="preserve">потребительские свойства, и отходов </w:t>
            </w:r>
            <w:r>
              <w:br/>
              <w:t xml:space="preserve">упаковки в местах их реализации </w:t>
            </w:r>
            <w:r>
              <w:br/>
              <w:t xml:space="preserve">(ремонта, технического обслуживания) </w:t>
            </w:r>
          </w:p>
        </w:tc>
      </w:tr>
    </w:tbl>
    <w:p w14:paraId="069E8866" w14:textId="77777777" w:rsidR="00146D3B" w:rsidRDefault="00146D3B" w:rsidP="00146D3B">
      <w:pPr>
        <w:pStyle w:val="titlep"/>
        <w:jc w:val="left"/>
        <w:divId w:val="1108356636"/>
      </w:pPr>
      <w:r>
        <w:t>ПЕРЕЧЕНЬ</w:t>
      </w:r>
      <w:r>
        <w:br/>
        <w:t>товаров, утративших потребительские свойства, и отходов упаковки, сбор которых от физических лиц обеспечивается организациями торговли</w:t>
      </w:r>
    </w:p>
    <w:p w14:paraId="0AE377F1" w14:textId="77777777" w:rsidR="00146D3B" w:rsidRDefault="00146D3B" w:rsidP="00146D3B">
      <w:pPr>
        <w:pStyle w:val="point"/>
        <w:divId w:val="1108356636"/>
      </w:pPr>
      <w:r>
        <w:lastRenderedPageBreak/>
        <w:t>1. Крупногабаритное ЭЭО – оборудование, габариты которого в сумме в трех измерениях составляют более 160 сантиметров (холодильники, морозильники, холодильники-морозильники, стиральные, посудомоечные и сушильные машины, плиты и духовые шкафы газовые и электрические, телевизоры, накопительные электрические водонагреватели).</w:t>
      </w:r>
    </w:p>
    <w:p w14:paraId="537D0595" w14:textId="77777777" w:rsidR="00146D3B" w:rsidRDefault="00146D3B" w:rsidP="00146D3B">
      <w:pPr>
        <w:pStyle w:val="point"/>
        <w:divId w:val="1108356636"/>
      </w:pPr>
      <w:r>
        <w:t>2. Среднегабаритное ЭЭО – оборудование, габариты которого в сумме в трех измерениях составляют более 80 сантиметров до 160 сантиметров включительно (телевизоры, мониторы, системные блоки компьютеров, принтеры, копировальные машины, сканеры, ноутбуки, аппаратура звукозаписывающая или звуковоспроизводящая, видеозаписывающая или видеовоспроизводящая, кондиционеры, вентиляторы, СВЧ-печи, обогреватели, накопительные электрические водонагреватели, пылесосы, пишущие машинки, швейные машины).</w:t>
      </w:r>
    </w:p>
    <w:p w14:paraId="7E4C0555" w14:textId="77777777" w:rsidR="00146D3B" w:rsidRDefault="00146D3B" w:rsidP="00146D3B">
      <w:pPr>
        <w:pStyle w:val="point"/>
        <w:divId w:val="1108356636"/>
      </w:pPr>
      <w:r>
        <w:t>3. Мелкогабаритное ЭЭО – оборудование, габариты которого в сумме в трех измерениях составляют до 80 сантиметров включительно (ЭЭО, не относящееся к крупногабаритному и среднегабаритному, в том числе калькуляторы электронные, миксеры, блендеры, электробритвы, машинки для стрижки волос, фены, электроутюги, телефонные аппараты, включая телефонные аппараты для сотовых или других беспроводных сетей связи, видеофоны, домофоны, аппаратура для радиовещания, электроинструменты, фотокамеры, консоли для видеоигр).</w:t>
      </w:r>
    </w:p>
    <w:p w14:paraId="457596C6" w14:textId="77777777" w:rsidR="00146D3B" w:rsidRDefault="00146D3B" w:rsidP="00146D3B">
      <w:pPr>
        <w:pStyle w:val="point"/>
        <w:divId w:val="1108356636"/>
      </w:pPr>
      <w:r>
        <w:t>4. Лампы газоразрядные ртутьсодержащие.</w:t>
      </w:r>
    </w:p>
    <w:p w14:paraId="4B25FE60" w14:textId="77777777" w:rsidR="00146D3B" w:rsidRDefault="00146D3B" w:rsidP="00146D3B">
      <w:pPr>
        <w:pStyle w:val="point"/>
        <w:divId w:val="1108356636"/>
      </w:pPr>
      <w:r>
        <w:t>5. Элементы питания (батарейки).</w:t>
      </w:r>
    </w:p>
    <w:p w14:paraId="0B9C778E" w14:textId="77777777" w:rsidR="00146D3B" w:rsidRDefault="00146D3B" w:rsidP="00146D3B">
      <w:pPr>
        <w:pStyle w:val="point"/>
        <w:divId w:val="1108356636"/>
      </w:pPr>
      <w:r>
        <w:t>6. Отходы полимерной, стеклянной, бумажной и картонной упаковки, упаковки из комбинированных материалов на основе бумаги и картона.</w:t>
      </w:r>
    </w:p>
    <w:p w14:paraId="0CA32B6D" w14:textId="77777777" w:rsidR="00146D3B" w:rsidRDefault="00146D3B">
      <w:pPr>
        <w:pStyle w:val="newncpi0"/>
        <w:jc w:val="center"/>
        <w:divId w:val="1108356636"/>
        <w:rPr>
          <w:rStyle w:val="name"/>
        </w:rPr>
      </w:pPr>
    </w:p>
    <w:p w14:paraId="6AC5A7D9" w14:textId="77777777" w:rsidR="00146D3B" w:rsidRDefault="00146D3B">
      <w:pPr>
        <w:pStyle w:val="newncpi0"/>
        <w:jc w:val="center"/>
        <w:divId w:val="1108356636"/>
        <w:rPr>
          <w:rStyle w:val="name"/>
        </w:rPr>
      </w:pPr>
    </w:p>
    <w:p w14:paraId="3BC512F6" w14:textId="77777777" w:rsidR="00146D3B" w:rsidRDefault="00146D3B">
      <w:pPr>
        <w:pStyle w:val="newncpi0"/>
        <w:jc w:val="center"/>
        <w:divId w:val="1108356636"/>
        <w:rPr>
          <w:rStyle w:val="name"/>
        </w:rPr>
      </w:pPr>
    </w:p>
    <w:p w14:paraId="12754D33" w14:textId="77777777" w:rsidR="00146D3B" w:rsidRDefault="00146D3B">
      <w:pPr>
        <w:pStyle w:val="newncpi0"/>
        <w:jc w:val="center"/>
        <w:divId w:val="1108356636"/>
        <w:rPr>
          <w:rStyle w:val="name"/>
        </w:rPr>
      </w:pPr>
    </w:p>
    <w:p w14:paraId="391F4B3C" w14:textId="77777777" w:rsidR="00146D3B" w:rsidRDefault="00146D3B">
      <w:pPr>
        <w:pStyle w:val="newncpi0"/>
        <w:jc w:val="center"/>
        <w:divId w:val="1108356636"/>
        <w:rPr>
          <w:rStyle w:val="name"/>
        </w:rPr>
      </w:pPr>
    </w:p>
    <w:p w14:paraId="00960EFF" w14:textId="77777777" w:rsidR="00146D3B" w:rsidRDefault="00146D3B">
      <w:pPr>
        <w:pStyle w:val="newncpi0"/>
        <w:jc w:val="center"/>
        <w:divId w:val="1108356636"/>
        <w:rPr>
          <w:rStyle w:val="name"/>
        </w:rPr>
      </w:pPr>
    </w:p>
    <w:p w14:paraId="17CA0A15" w14:textId="77777777" w:rsidR="00146D3B" w:rsidRDefault="00146D3B">
      <w:pPr>
        <w:pStyle w:val="newncpi0"/>
        <w:jc w:val="center"/>
        <w:divId w:val="1108356636"/>
        <w:rPr>
          <w:rStyle w:val="name"/>
        </w:rPr>
      </w:pPr>
    </w:p>
    <w:p w14:paraId="3CF17902" w14:textId="77777777" w:rsidR="00146D3B" w:rsidRDefault="00146D3B">
      <w:pPr>
        <w:pStyle w:val="newncpi0"/>
        <w:jc w:val="center"/>
        <w:divId w:val="1108356636"/>
        <w:rPr>
          <w:rStyle w:val="name"/>
        </w:rPr>
      </w:pPr>
    </w:p>
    <w:p w14:paraId="16BC1B9B" w14:textId="77777777" w:rsidR="00146D3B" w:rsidRDefault="00146D3B">
      <w:pPr>
        <w:pStyle w:val="newncpi0"/>
        <w:jc w:val="center"/>
        <w:divId w:val="1108356636"/>
        <w:rPr>
          <w:rStyle w:val="name"/>
        </w:rPr>
      </w:pPr>
    </w:p>
    <w:p w14:paraId="497BCB3F" w14:textId="77777777" w:rsidR="00814E42" w:rsidRDefault="00814E42">
      <w:pPr>
        <w:pStyle w:val="endform"/>
        <w:divId w:val="868105918"/>
      </w:pPr>
      <w:r>
        <w:t> </w:t>
      </w:r>
    </w:p>
    <w:p w14:paraId="2D3103BC" w14:textId="77777777" w:rsidR="00814E42" w:rsidRDefault="00814E42">
      <w:pPr>
        <w:pStyle w:val="newncpi"/>
        <w:divId w:val="868105918"/>
      </w:pPr>
      <w:r>
        <w:t> </w:t>
      </w:r>
    </w:p>
    <w:sectPr w:rsidR="00814E42" w:rsidSect="00146D3B">
      <w:pgSz w:w="12240" w:h="15840"/>
      <w:pgMar w:top="1134" w:right="567"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E42"/>
    <w:rsid w:val="00146D3B"/>
    <w:rsid w:val="00814E42"/>
    <w:rsid w:val="00C85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86AA8"/>
  <w15:docId w15:val="{86DCC95D-0420-455C-8BAD-1888557D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4E42"/>
    <w:rPr>
      <w:color w:val="0000FF"/>
      <w:u w:val="single"/>
    </w:rPr>
  </w:style>
  <w:style w:type="character" w:styleId="a4">
    <w:name w:val="FollowedHyperlink"/>
    <w:basedOn w:val="a0"/>
    <w:uiPriority w:val="99"/>
    <w:semiHidden/>
    <w:unhideWhenUsed/>
    <w:rsid w:val="00814E42"/>
    <w:rPr>
      <w:color w:val="800080"/>
      <w:u w:val="single"/>
    </w:rPr>
  </w:style>
  <w:style w:type="character" w:styleId="HTML">
    <w:name w:val="HTML Acronym"/>
    <w:basedOn w:val="a0"/>
    <w:uiPriority w:val="99"/>
    <w:semiHidden/>
    <w:unhideWhenUsed/>
    <w:rsid w:val="00814E42"/>
    <w:rPr>
      <w:color w:val="000000"/>
      <w:shd w:val="clear" w:color="auto" w:fill="FFFF00"/>
    </w:rPr>
  </w:style>
  <w:style w:type="paragraph" w:customStyle="1" w:styleId="part">
    <w:name w:val="part"/>
    <w:basedOn w:val="a"/>
    <w:rsid w:val="00814E42"/>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814E42"/>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1">
    <w:name w:val="Заголовок1"/>
    <w:basedOn w:val="a"/>
    <w:rsid w:val="00814E42"/>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814E42"/>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814E42"/>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814E42"/>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814E42"/>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814E42"/>
    <w:pPr>
      <w:spacing w:after="0" w:line="240" w:lineRule="auto"/>
      <w:jc w:val="center"/>
    </w:pPr>
    <w:rPr>
      <w:rFonts w:ascii="Times New Roman" w:hAnsi="Times New Roman" w:cs="Times New Roman"/>
      <w:b/>
      <w:bCs/>
      <w:sz w:val="24"/>
      <w:szCs w:val="24"/>
    </w:rPr>
  </w:style>
  <w:style w:type="paragraph" w:customStyle="1" w:styleId="agree">
    <w:name w:val="agree"/>
    <w:basedOn w:val="a"/>
    <w:rsid w:val="00814E42"/>
    <w:pPr>
      <w:spacing w:after="28" w:line="240" w:lineRule="auto"/>
    </w:pPr>
    <w:rPr>
      <w:rFonts w:ascii="Times New Roman" w:hAnsi="Times New Roman" w:cs="Times New Roman"/>
      <w:i/>
      <w:iCs/>
    </w:rPr>
  </w:style>
  <w:style w:type="paragraph" w:customStyle="1" w:styleId="razdel">
    <w:name w:val="razdel"/>
    <w:basedOn w:val="a"/>
    <w:rsid w:val="00814E42"/>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814E42"/>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814E42"/>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814E42"/>
    <w:pPr>
      <w:spacing w:before="160" w:after="160" w:line="240" w:lineRule="auto"/>
      <w:jc w:val="right"/>
    </w:pPr>
    <w:rPr>
      <w:rFonts w:ascii="Times New Roman" w:hAnsi="Times New Roman" w:cs="Times New Roman"/>
    </w:rPr>
  </w:style>
  <w:style w:type="paragraph" w:customStyle="1" w:styleId="titleu">
    <w:name w:val="titleu"/>
    <w:basedOn w:val="a"/>
    <w:rsid w:val="00814E42"/>
    <w:pPr>
      <w:spacing w:before="360" w:after="360" w:line="240" w:lineRule="auto"/>
    </w:pPr>
    <w:rPr>
      <w:rFonts w:ascii="Times New Roman" w:hAnsi="Times New Roman" w:cs="Times New Roman"/>
      <w:b/>
      <w:bCs/>
      <w:sz w:val="24"/>
      <w:szCs w:val="24"/>
    </w:rPr>
  </w:style>
  <w:style w:type="paragraph" w:customStyle="1" w:styleId="titlek">
    <w:name w:val="titlek"/>
    <w:basedOn w:val="a"/>
    <w:rsid w:val="00814E42"/>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814E42"/>
    <w:pPr>
      <w:spacing w:after="0" w:line="240" w:lineRule="auto"/>
    </w:pPr>
    <w:rPr>
      <w:rFonts w:ascii="Times New Roman" w:hAnsi="Times New Roman" w:cs="Times New Roman"/>
      <w:sz w:val="20"/>
      <w:szCs w:val="20"/>
    </w:rPr>
  </w:style>
  <w:style w:type="paragraph" w:customStyle="1" w:styleId="point">
    <w:name w:val="point"/>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814E42"/>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814E42"/>
    <w:pPr>
      <w:spacing w:after="0" w:line="240" w:lineRule="auto"/>
    </w:pPr>
    <w:rPr>
      <w:rFonts w:ascii="Times New Roman" w:hAnsi="Times New Roman" w:cs="Times New Roman"/>
      <w:i/>
      <w:iCs/>
    </w:rPr>
  </w:style>
  <w:style w:type="paragraph" w:customStyle="1" w:styleId="odobren1">
    <w:name w:val="odobren1"/>
    <w:basedOn w:val="a"/>
    <w:rsid w:val="00814E42"/>
    <w:pPr>
      <w:spacing w:after="120" w:line="240" w:lineRule="auto"/>
    </w:pPr>
    <w:rPr>
      <w:rFonts w:ascii="Times New Roman" w:hAnsi="Times New Roman" w:cs="Times New Roman"/>
      <w:i/>
      <w:iCs/>
    </w:rPr>
  </w:style>
  <w:style w:type="paragraph" w:customStyle="1" w:styleId="comment">
    <w:name w:val="comment"/>
    <w:basedOn w:val="a"/>
    <w:rsid w:val="00814E42"/>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814E42"/>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814E42"/>
    <w:pPr>
      <w:spacing w:after="0" w:line="240" w:lineRule="auto"/>
      <w:jc w:val="both"/>
    </w:pPr>
    <w:rPr>
      <w:rFonts w:ascii="Times New Roman" w:hAnsi="Times New Roman" w:cs="Times New Roman"/>
      <w:sz w:val="20"/>
      <w:szCs w:val="20"/>
    </w:rPr>
  </w:style>
  <w:style w:type="paragraph" w:customStyle="1" w:styleId="paragraph">
    <w:name w:val="paragraph"/>
    <w:basedOn w:val="a"/>
    <w:rsid w:val="00814E42"/>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814E42"/>
    <w:pPr>
      <w:spacing w:after="0" w:line="240" w:lineRule="auto"/>
    </w:pPr>
    <w:rPr>
      <w:rFonts w:ascii="Times New Roman" w:hAnsi="Times New Roman" w:cs="Times New Roman"/>
      <w:sz w:val="20"/>
      <w:szCs w:val="20"/>
    </w:rPr>
  </w:style>
  <w:style w:type="paragraph" w:customStyle="1" w:styleId="numnrpa">
    <w:name w:val="numnrpa"/>
    <w:basedOn w:val="a"/>
    <w:rsid w:val="00814E42"/>
    <w:pPr>
      <w:spacing w:after="0" w:line="240" w:lineRule="auto"/>
    </w:pPr>
    <w:rPr>
      <w:rFonts w:ascii="Times New Roman" w:hAnsi="Times New Roman" w:cs="Times New Roman"/>
      <w:sz w:val="36"/>
      <w:szCs w:val="36"/>
    </w:rPr>
  </w:style>
  <w:style w:type="paragraph" w:customStyle="1" w:styleId="append">
    <w:name w:val="append"/>
    <w:basedOn w:val="a"/>
    <w:rsid w:val="00814E42"/>
    <w:pPr>
      <w:spacing w:after="0" w:line="240" w:lineRule="auto"/>
    </w:pPr>
    <w:rPr>
      <w:rFonts w:ascii="Times New Roman" w:hAnsi="Times New Roman" w:cs="Times New Roman"/>
      <w:i/>
      <w:iCs/>
    </w:rPr>
  </w:style>
  <w:style w:type="paragraph" w:customStyle="1" w:styleId="prinodobren">
    <w:name w:val="prinodobren"/>
    <w:basedOn w:val="a"/>
    <w:rsid w:val="00814E42"/>
    <w:pPr>
      <w:spacing w:before="360" w:after="360" w:line="240" w:lineRule="auto"/>
    </w:pPr>
    <w:rPr>
      <w:rFonts w:ascii="Times New Roman" w:hAnsi="Times New Roman" w:cs="Times New Roman"/>
      <w:sz w:val="24"/>
      <w:szCs w:val="24"/>
    </w:rPr>
  </w:style>
  <w:style w:type="paragraph" w:customStyle="1" w:styleId="spiski">
    <w:name w:val="spiski"/>
    <w:basedOn w:val="a"/>
    <w:rsid w:val="00814E42"/>
    <w:pPr>
      <w:spacing w:after="0" w:line="240" w:lineRule="auto"/>
    </w:pPr>
    <w:rPr>
      <w:rFonts w:ascii="Times New Roman" w:hAnsi="Times New Roman" w:cs="Times New Roman"/>
      <w:sz w:val="24"/>
      <w:szCs w:val="24"/>
    </w:rPr>
  </w:style>
  <w:style w:type="paragraph" w:customStyle="1" w:styleId="nonumheader">
    <w:name w:val="nonumheader"/>
    <w:basedOn w:val="a"/>
    <w:rsid w:val="00814E42"/>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814E42"/>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814E42"/>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814E42"/>
    <w:pPr>
      <w:spacing w:after="0" w:line="240" w:lineRule="auto"/>
      <w:jc w:val="both"/>
    </w:pPr>
    <w:rPr>
      <w:rFonts w:ascii="Times New Roman" w:hAnsi="Times New Roman" w:cs="Times New Roman"/>
      <w:i/>
      <w:iCs/>
    </w:rPr>
  </w:style>
  <w:style w:type="paragraph" w:customStyle="1" w:styleId="changeadd">
    <w:name w:val="changeadd"/>
    <w:basedOn w:val="a"/>
    <w:rsid w:val="00814E42"/>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814E42"/>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814E42"/>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814E42"/>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814E42"/>
    <w:pPr>
      <w:spacing w:after="28" w:line="240" w:lineRule="auto"/>
    </w:pPr>
    <w:rPr>
      <w:rFonts w:ascii="Times New Roman" w:hAnsi="Times New Roman" w:cs="Times New Roman"/>
      <w:i/>
      <w:iCs/>
    </w:rPr>
  </w:style>
  <w:style w:type="paragraph" w:customStyle="1" w:styleId="cap1">
    <w:name w:val="cap1"/>
    <w:basedOn w:val="a"/>
    <w:rsid w:val="00814E42"/>
    <w:pPr>
      <w:spacing w:after="0" w:line="240" w:lineRule="auto"/>
    </w:pPr>
    <w:rPr>
      <w:rFonts w:ascii="Times New Roman" w:hAnsi="Times New Roman" w:cs="Times New Roman"/>
      <w:i/>
      <w:iCs/>
    </w:rPr>
  </w:style>
  <w:style w:type="paragraph" w:customStyle="1" w:styleId="capu1">
    <w:name w:val="capu1"/>
    <w:basedOn w:val="a"/>
    <w:rsid w:val="00814E42"/>
    <w:pPr>
      <w:spacing w:after="120" w:line="240" w:lineRule="auto"/>
    </w:pPr>
    <w:rPr>
      <w:rFonts w:ascii="Times New Roman" w:hAnsi="Times New Roman" w:cs="Times New Roman"/>
      <w:i/>
      <w:iCs/>
    </w:rPr>
  </w:style>
  <w:style w:type="paragraph" w:customStyle="1" w:styleId="newncpi">
    <w:name w:val="newncpi"/>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14E42"/>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814E42"/>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814E42"/>
    <w:pPr>
      <w:spacing w:after="0" w:line="240" w:lineRule="auto"/>
      <w:jc w:val="right"/>
    </w:pPr>
    <w:rPr>
      <w:rFonts w:ascii="Times New Roman" w:hAnsi="Times New Roman" w:cs="Times New Roman"/>
      <w:sz w:val="20"/>
      <w:szCs w:val="20"/>
    </w:rPr>
  </w:style>
  <w:style w:type="paragraph" w:customStyle="1" w:styleId="zagrazdel">
    <w:name w:val="zagrazdel"/>
    <w:basedOn w:val="a"/>
    <w:rsid w:val="00814E42"/>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814E42"/>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814E42"/>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814E42"/>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814E42"/>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814E42"/>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814E42"/>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814E42"/>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814E42"/>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814E42"/>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814E42"/>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814E42"/>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814E42"/>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814E42"/>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814E42"/>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814E42"/>
    <w:pPr>
      <w:spacing w:before="160" w:after="160" w:line="240" w:lineRule="auto"/>
      <w:ind w:left="1134" w:hanging="1134"/>
    </w:pPr>
    <w:rPr>
      <w:rFonts w:ascii="Times New Roman" w:hAnsi="Times New Roman" w:cs="Times New Roman"/>
    </w:rPr>
  </w:style>
  <w:style w:type="paragraph" w:customStyle="1" w:styleId="gosreg">
    <w:name w:val="gosreg"/>
    <w:basedOn w:val="a"/>
    <w:rsid w:val="00814E42"/>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814E42"/>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814E42"/>
    <w:pPr>
      <w:spacing w:before="360" w:after="360" w:line="240" w:lineRule="auto"/>
    </w:pPr>
    <w:rPr>
      <w:rFonts w:ascii="Times New Roman" w:hAnsi="Times New Roman" w:cs="Times New Roman"/>
      <w:sz w:val="24"/>
      <w:szCs w:val="24"/>
    </w:rPr>
  </w:style>
  <w:style w:type="paragraph" w:customStyle="1" w:styleId="recepient">
    <w:name w:val="recepient"/>
    <w:basedOn w:val="a"/>
    <w:rsid w:val="00814E42"/>
    <w:pPr>
      <w:spacing w:after="0" w:line="240" w:lineRule="auto"/>
      <w:ind w:left="5103"/>
    </w:pPr>
    <w:rPr>
      <w:rFonts w:ascii="Times New Roman" w:hAnsi="Times New Roman" w:cs="Times New Roman"/>
      <w:sz w:val="24"/>
      <w:szCs w:val="24"/>
    </w:rPr>
  </w:style>
  <w:style w:type="paragraph" w:customStyle="1" w:styleId="doklad">
    <w:name w:val="doklad"/>
    <w:basedOn w:val="a"/>
    <w:rsid w:val="00814E42"/>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814E42"/>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814E42"/>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814E42"/>
    <w:pPr>
      <w:spacing w:after="0" w:line="240" w:lineRule="auto"/>
    </w:pPr>
    <w:rPr>
      <w:rFonts w:ascii="Times New Roman" w:hAnsi="Times New Roman" w:cs="Times New Roman"/>
      <w:sz w:val="24"/>
      <w:szCs w:val="24"/>
    </w:rPr>
  </w:style>
  <w:style w:type="paragraph" w:customStyle="1" w:styleId="table9">
    <w:name w:val="table9"/>
    <w:basedOn w:val="a"/>
    <w:rsid w:val="00814E42"/>
    <w:pPr>
      <w:spacing w:after="0" w:line="240" w:lineRule="auto"/>
    </w:pPr>
    <w:rPr>
      <w:rFonts w:ascii="Times New Roman" w:hAnsi="Times New Roman" w:cs="Times New Roman"/>
      <w:sz w:val="18"/>
      <w:szCs w:val="18"/>
    </w:rPr>
  </w:style>
  <w:style w:type="paragraph" w:customStyle="1" w:styleId="table8">
    <w:name w:val="table8"/>
    <w:basedOn w:val="a"/>
    <w:rsid w:val="00814E42"/>
    <w:pPr>
      <w:spacing w:after="0" w:line="240" w:lineRule="auto"/>
    </w:pPr>
    <w:rPr>
      <w:rFonts w:ascii="Times New Roman" w:hAnsi="Times New Roman" w:cs="Times New Roman"/>
      <w:sz w:val="16"/>
      <w:szCs w:val="16"/>
    </w:rPr>
  </w:style>
  <w:style w:type="paragraph" w:customStyle="1" w:styleId="table7">
    <w:name w:val="table7"/>
    <w:basedOn w:val="a"/>
    <w:rsid w:val="00814E42"/>
    <w:pPr>
      <w:spacing w:after="0" w:line="240" w:lineRule="auto"/>
    </w:pPr>
    <w:rPr>
      <w:rFonts w:ascii="Times New Roman" w:hAnsi="Times New Roman" w:cs="Times New Roman"/>
      <w:sz w:val="14"/>
      <w:szCs w:val="14"/>
    </w:rPr>
  </w:style>
  <w:style w:type="paragraph" w:customStyle="1" w:styleId="begform">
    <w:name w:val="begform"/>
    <w:basedOn w:val="a"/>
    <w:rsid w:val="00814E42"/>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814E42"/>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814E42"/>
    <w:pPr>
      <w:spacing w:after="0" w:line="240" w:lineRule="auto"/>
      <w:ind w:firstLine="567"/>
      <w:jc w:val="both"/>
    </w:pPr>
    <w:rPr>
      <w:rFonts w:ascii="Gbinfo" w:hAnsi="Gbinfo" w:cs="Times New Roman"/>
      <w:sz w:val="20"/>
      <w:szCs w:val="20"/>
    </w:rPr>
  </w:style>
  <w:style w:type="paragraph" w:customStyle="1" w:styleId="actualbez">
    <w:name w:val="actualbez"/>
    <w:basedOn w:val="a"/>
    <w:rsid w:val="00814E42"/>
    <w:pPr>
      <w:spacing w:after="0" w:line="240" w:lineRule="auto"/>
      <w:jc w:val="both"/>
    </w:pPr>
    <w:rPr>
      <w:rFonts w:ascii="Gbinfo" w:hAnsi="Gbinfo" w:cs="Times New Roman"/>
      <w:sz w:val="20"/>
      <w:szCs w:val="20"/>
    </w:rPr>
  </w:style>
  <w:style w:type="paragraph" w:customStyle="1" w:styleId="gcomment">
    <w:name w:val="g_comment"/>
    <w:basedOn w:val="a"/>
    <w:rsid w:val="00814E42"/>
    <w:pPr>
      <w:spacing w:after="0" w:line="240" w:lineRule="auto"/>
      <w:jc w:val="right"/>
    </w:pPr>
    <w:rPr>
      <w:rFonts w:ascii="Gbinfo" w:hAnsi="Gbinfo" w:cs="Times New Roman"/>
      <w:i/>
      <w:iCs/>
      <w:sz w:val="20"/>
      <w:szCs w:val="20"/>
    </w:rPr>
  </w:style>
  <w:style w:type="paragraph" w:customStyle="1" w:styleId="document">
    <w:name w:val="document"/>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rsid w:val="00814E42"/>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814E42"/>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814E42"/>
    <w:pPr>
      <w:pBdr>
        <w:bottom w:val="single" w:sz="4"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814E42"/>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814E42"/>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814E42"/>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814E4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814E42"/>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814E42"/>
    <w:pPr>
      <w:pBdr>
        <w:bottom w:val="single" w:sz="4"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814E42"/>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814E42"/>
    <w:pPr>
      <w:pBdr>
        <w:bottom w:val="single" w:sz="4"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814E42"/>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814E42"/>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814E42"/>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814E42"/>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814E42"/>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814E42"/>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814E42"/>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814E42"/>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814E42"/>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814E42"/>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814E42"/>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814E42"/>
    <w:rPr>
      <w:rFonts w:ascii="Times New Roman" w:hAnsi="Times New Roman" w:cs="Times New Roman" w:hint="default"/>
      <w:b/>
      <w:bCs/>
      <w:caps/>
    </w:rPr>
  </w:style>
  <w:style w:type="character" w:customStyle="1" w:styleId="promulgator">
    <w:name w:val="promulgator"/>
    <w:basedOn w:val="a0"/>
    <w:rsid w:val="00814E42"/>
    <w:rPr>
      <w:rFonts w:ascii="Times New Roman" w:hAnsi="Times New Roman" w:cs="Times New Roman" w:hint="default"/>
      <w:b/>
      <w:bCs/>
      <w:caps/>
    </w:rPr>
  </w:style>
  <w:style w:type="character" w:customStyle="1" w:styleId="datepr">
    <w:name w:val="datepr"/>
    <w:basedOn w:val="a0"/>
    <w:rsid w:val="00814E42"/>
    <w:rPr>
      <w:rFonts w:ascii="Times New Roman" w:hAnsi="Times New Roman" w:cs="Times New Roman" w:hint="default"/>
      <w:i/>
      <w:iCs/>
    </w:rPr>
  </w:style>
  <w:style w:type="character" w:customStyle="1" w:styleId="datecity">
    <w:name w:val="datecity"/>
    <w:basedOn w:val="a0"/>
    <w:rsid w:val="00814E42"/>
    <w:rPr>
      <w:rFonts w:ascii="Times New Roman" w:hAnsi="Times New Roman" w:cs="Times New Roman" w:hint="default"/>
      <w:i/>
      <w:iCs/>
      <w:sz w:val="24"/>
      <w:szCs w:val="24"/>
    </w:rPr>
  </w:style>
  <w:style w:type="character" w:customStyle="1" w:styleId="datereg">
    <w:name w:val="datereg"/>
    <w:basedOn w:val="a0"/>
    <w:rsid w:val="00814E42"/>
    <w:rPr>
      <w:rFonts w:ascii="Times New Roman" w:hAnsi="Times New Roman" w:cs="Times New Roman" w:hint="default"/>
    </w:rPr>
  </w:style>
  <w:style w:type="character" w:customStyle="1" w:styleId="number">
    <w:name w:val="number"/>
    <w:basedOn w:val="a0"/>
    <w:rsid w:val="00814E42"/>
    <w:rPr>
      <w:rFonts w:ascii="Times New Roman" w:hAnsi="Times New Roman" w:cs="Times New Roman" w:hint="default"/>
      <w:i/>
      <w:iCs/>
    </w:rPr>
  </w:style>
  <w:style w:type="character" w:customStyle="1" w:styleId="bigsimbol">
    <w:name w:val="bigsimbol"/>
    <w:basedOn w:val="a0"/>
    <w:rsid w:val="00814E42"/>
    <w:rPr>
      <w:rFonts w:ascii="Times New Roman" w:hAnsi="Times New Roman" w:cs="Times New Roman" w:hint="default"/>
      <w:caps/>
    </w:rPr>
  </w:style>
  <w:style w:type="character" w:customStyle="1" w:styleId="razr">
    <w:name w:val="razr"/>
    <w:basedOn w:val="a0"/>
    <w:rsid w:val="00814E42"/>
    <w:rPr>
      <w:rFonts w:ascii="Times New Roman" w:hAnsi="Times New Roman" w:cs="Times New Roman" w:hint="default"/>
      <w:spacing w:val="30"/>
    </w:rPr>
  </w:style>
  <w:style w:type="character" w:customStyle="1" w:styleId="onesymbol">
    <w:name w:val="onesymbol"/>
    <w:basedOn w:val="a0"/>
    <w:rsid w:val="00814E42"/>
    <w:rPr>
      <w:rFonts w:ascii="Symbol" w:hAnsi="Symbol" w:hint="default"/>
    </w:rPr>
  </w:style>
  <w:style w:type="character" w:customStyle="1" w:styleId="onewind3">
    <w:name w:val="onewind3"/>
    <w:basedOn w:val="a0"/>
    <w:rsid w:val="00814E42"/>
    <w:rPr>
      <w:rFonts w:ascii="Wingdings 3" w:hAnsi="Wingdings 3" w:hint="default"/>
    </w:rPr>
  </w:style>
  <w:style w:type="character" w:customStyle="1" w:styleId="onewind2">
    <w:name w:val="onewind2"/>
    <w:basedOn w:val="a0"/>
    <w:rsid w:val="00814E42"/>
    <w:rPr>
      <w:rFonts w:ascii="Wingdings 2" w:hAnsi="Wingdings 2" w:hint="default"/>
    </w:rPr>
  </w:style>
  <w:style w:type="character" w:customStyle="1" w:styleId="onewind">
    <w:name w:val="onewind"/>
    <w:basedOn w:val="a0"/>
    <w:rsid w:val="00814E42"/>
    <w:rPr>
      <w:rFonts w:ascii="Wingdings" w:hAnsi="Wingdings" w:hint="default"/>
    </w:rPr>
  </w:style>
  <w:style w:type="character" w:customStyle="1" w:styleId="rednoun">
    <w:name w:val="rednoun"/>
    <w:basedOn w:val="a0"/>
    <w:rsid w:val="00814E42"/>
  </w:style>
  <w:style w:type="character" w:customStyle="1" w:styleId="post">
    <w:name w:val="post"/>
    <w:basedOn w:val="a0"/>
    <w:rsid w:val="00814E42"/>
    <w:rPr>
      <w:rFonts w:ascii="Times New Roman" w:hAnsi="Times New Roman" w:cs="Times New Roman" w:hint="default"/>
      <w:b/>
      <w:bCs/>
      <w:i/>
      <w:iCs/>
      <w:sz w:val="22"/>
      <w:szCs w:val="22"/>
    </w:rPr>
  </w:style>
  <w:style w:type="character" w:customStyle="1" w:styleId="pers">
    <w:name w:val="pers"/>
    <w:basedOn w:val="a0"/>
    <w:rsid w:val="00814E42"/>
    <w:rPr>
      <w:rFonts w:ascii="Times New Roman" w:hAnsi="Times New Roman" w:cs="Times New Roman" w:hint="default"/>
      <w:b/>
      <w:bCs/>
      <w:i/>
      <w:iCs/>
      <w:sz w:val="22"/>
      <w:szCs w:val="22"/>
    </w:rPr>
  </w:style>
  <w:style w:type="character" w:customStyle="1" w:styleId="arabic">
    <w:name w:val="arabic"/>
    <w:basedOn w:val="a0"/>
    <w:rsid w:val="00814E42"/>
    <w:rPr>
      <w:rFonts w:ascii="Times New Roman" w:hAnsi="Times New Roman" w:cs="Times New Roman" w:hint="default"/>
    </w:rPr>
  </w:style>
  <w:style w:type="character" w:customStyle="1" w:styleId="articlec">
    <w:name w:val="articlec"/>
    <w:basedOn w:val="a0"/>
    <w:rsid w:val="00814E42"/>
    <w:rPr>
      <w:rFonts w:ascii="Times New Roman" w:hAnsi="Times New Roman" w:cs="Times New Roman" w:hint="default"/>
      <w:b/>
      <w:bCs/>
    </w:rPr>
  </w:style>
  <w:style w:type="character" w:customStyle="1" w:styleId="roman">
    <w:name w:val="roman"/>
    <w:basedOn w:val="a0"/>
    <w:rsid w:val="00814E42"/>
    <w:rPr>
      <w:rFonts w:ascii="Arial" w:hAnsi="Arial" w:cs="Arial" w:hint="default"/>
    </w:rPr>
  </w:style>
  <w:style w:type="table" w:customStyle="1" w:styleId="tablencpi">
    <w:name w:val="tablencpi"/>
    <w:basedOn w:val="a1"/>
    <w:rsid w:val="00814E42"/>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37615">
      <w:marLeft w:val="0"/>
      <w:marRight w:val="0"/>
      <w:marTop w:val="0"/>
      <w:marBottom w:val="0"/>
      <w:divBdr>
        <w:top w:val="none" w:sz="0" w:space="0" w:color="auto"/>
        <w:left w:val="none" w:sz="0" w:space="0" w:color="auto"/>
        <w:bottom w:val="none" w:sz="0" w:space="0" w:color="auto"/>
        <w:right w:val="none" w:sz="0" w:space="0" w:color="auto"/>
      </w:divBdr>
    </w:div>
    <w:div w:id="244456561">
      <w:marLeft w:val="0"/>
      <w:marRight w:val="0"/>
      <w:marTop w:val="0"/>
      <w:marBottom w:val="0"/>
      <w:divBdr>
        <w:top w:val="none" w:sz="0" w:space="0" w:color="auto"/>
        <w:left w:val="none" w:sz="0" w:space="0" w:color="auto"/>
        <w:bottom w:val="none" w:sz="0" w:space="0" w:color="auto"/>
        <w:right w:val="none" w:sz="0" w:space="0" w:color="auto"/>
      </w:divBdr>
    </w:div>
    <w:div w:id="276304271">
      <w:marLeft w:val="0"/>
      <w:marRight w:val="0"/>
      <w:marTop w:val="0"/>
      <w:marBottom w:val="0"/>
      <w:divBdr>
        <w:top w:val="none" w:sz="0" w:space="0" w:color="auto"/>
        <w:left w:val="none" w:sz="0" w:space="0" w:color="auto"/>
        <w:bottom w:val="none" w:sz="0" w:space="0" w:color="auto"/>
        <w:right w:val="none" w:sz="0" w:space="0" w:color="auto"/>
      </w:divBdr>
    </w:div>
    <w:div w:id="406853400">
      <w:marLeft w:val="0"/>
      <w:marRight w:val="0"/>
      <w:marTop w:val="0"/>
      <w:marBottom w:val="0"/>
      <w:divBdr>
        <w:top w:val="none" w:sz="0" w:space="0" w:color="auto"/>
        <w:left w:val="none" w:sz="0" w:space="0" w:color="auto"/>
        <w:bottom w:val="none" w:sz="0" w:space="0" w:color="auto"/>
        <w:right w:val="none" w:sz="0" w:space="0" w:color="auto"/>
      </w:divBdr>
    </w:div>
    <w:div w:id="428736921">
      <w:marLeft w:val="0"/>
      <w:marRight w:val="0"/>
      <w:marTop w:val="0"/>
      <w:marBottom w:val="0"/>
      <w:divBdr>
        <w:top w:val="none" w:sz="0" w:space="0" w:color="auto"/>
        <w:left w:val="none" w:sz="0" w:space="0" w:color="auto"/>
        <w:bottom w:val="none" w:sz="0" w:space="0" w:color="auto"/>
        <w:right w:val="none" w:sz="0" w:space="0" w:color="auto"/>
      </w:divBdr>
    </w:div>
    <w:div w:id="645597043">
      <w:marLeft w:val="0"/>
      <w:marRight w:val="0"/>
      <w:marTop w:val="0"/>
      <w:marBottom w:val="0"/>
      <w:divBdr>
        <w:top w:val="none" w:sz="0" w:space="0" w:color="auto"/>
        <w:left w:val="none" w:sz="0" w:space="0" w:color="auto"/>
        <w:bottom w:val="none" w:sz="0" w:space="0" w:color="auto"/>
        <w:right w:val="none" w:sz="0" w:space="0" w:color="auto"/>
      </w:divBdr>
    </w:div>
    <w:div w:id="868105918">
      <w:marLeft w:val="0"/>
      <w:marRight w:val="0"/>
      <w:marTop w:val="0"/>
      <w:marBottom w:val="0"/>
      <w:divBdr>
        <w:top w:val="none" w:sz="0" w:space="0" w:color="auto"/>
        <w:left w:val="none" w:sz="0" w:space="0" w:color="auto"/>
        <w:bottom w:val="none" w:sz="0" w:space="0" w:color="auto"/>
        <w:right w:val="none" w:sz="0" w:space="0" w:color="auto"/>
      </w:divBdr>
    </w:div>
    <w:div w:id="1108356636">
      <w:marLeft w:val="0"/>
      <w:marRight w:val="0"/>
      <w:marTop w:val="0"/>
      <w:marBottom w:val="0"/>
      <w:divBdr>
        <w:top w:val="none" w:sz="0" w:space="0" w:color="auto"/>
        <w:left w:val="none" w:sz="0" w:space="0" w:color="auto"/>
        <w:bottom w:val="none" w:sz="0" w:space="0" w:color="auto"/>
        <w:right w:val="none" w:sz="0" w:space="0" w:color="auto"/>
      </w:divBdr>
    </w:div>
    <w:div w:id="1147212398">
      <w:marLeft w:val="0"/>
      <w:marRight w:val="0"/>
      <w:marTop w:val="0"/>
      <w:marBottom w:val="0"/>
      <w:divBdr>
        <w:top w:val="none" w:sz="0" w:space="0" w:color="auto"/>
        <w:left w:val="none" w:sz="0" w:space="0" w:color="auto"/>
        <w:bottom w:val="none" w:sz="0" w:space="0" w:color="auto"/>
        <w:right w:val="none" w:sz="0" w:space="0" w:color="auto"/>
      </w:divBdr>
    </w:div>
    <w:div w:id="1340541603">
      <w:marLeft w:val="0"/>
      <w:marRight w:val="0"/>
      <w:marTop w:val="0"/>
      <w:marBottom w:val="0"/>
      <w:divBdr>
        <w:top w:val="none" w:sz="0" w:space="0" w:color="auto"/>
        <w:left w:val="none" w:sz="0" w:space="0" w:color="auto"/>
        <w:bottom w:val="none" w:sz="0" w:space="0" w:color="auto"/>
        <w:right w:val="none" w:sz="0" w:space="0" w:color="auto"/>
      </w:divBdr>
      <w:divsChild>
        <w:div w:id="251084293">
          <w:marLeft w:val="0"/>
          <w:marRight w:val="0"/>
          <w:marTop w:val="0"/>
          <w:marBottom w:val="0"/>
          <w:divBdr>
            <w:top w:val="none" w:sz="0" w:space="0" w:color="auto"/>
            <w:left w:val="none" w:sz="0" w:space="0" w:color="auto"/>
            <w:bottom w:val="none" w:sz="0" w:space="0" w:color="auto"/>
            <w:right w:val="none" w:sz="0" w:space="0" w:color="auto"/>
          </w:divBdr>
        </w:div>
        <w:div w:id="1398213044">
          <w:marLeft w:val="0"/>
          <w:marRight w:val="0"/>
          <w:marTop w:val="0"/>
          <w:marBottom w:val="0"/>
          <w:divBdr>
            <w:top w:val="none" w:sz="0" w:space="0" w:color="auto"/>
            <w:left w:val="none" w:sz="0" w:space="0" w:color="auto"/>
            <w:bottom w:val="none" w:sz="0" w:space="0" w:color="auto"/>
            <w:right w:val="none" w:sz="0" w:space="0" w:color="auto"/>
          </w:divBdr>
        </w:div>
        <w:div w:id="1142191172">
          <w:marLeft w:val="0"/>
          <w:marRight w:val="0"/>
          <w:marTop w:val="0"/>
          <w:marBottom w:val="0"/>
          <w:divBdr>
            <w:top w:val="none" w:sz="0" w:space="0" w:color="auto"/>
            <w:left w:val="none" w:sz="0" w:space="0" w:color="auto"/>
            <w:bottom w:val="none" w:sz="0" w:space="0" w:color="auto"/>
            <w:right w:val="none" w:sz="0" w:space="0" w:color="auto"/>
          </w:divBdr>
        </w:div>
        <w:div w:id="128937393">
          <w:marLeft w:val="0"/>
          <w:marRight w:val="0"/>
          <w:marTop w:val="0"/>
          <w:marBottom w:val="0"/>
          <w:divBdr>
            <w:top w:val="none" w:sz="0" w:space="0" w:color="auto"/>
            <w:left w:val="none" w:sz="0" w:space="0" w:color="auto"/>
            <w:bottom w:val="none" w:sz="0" w:space="0" w:color="auto"/>
            <w:right w:val="none" w:sz="0" w:space="0" w:color="auto"/>
          </w:divBdr>
        </w:div>
        <w:div w:id="1321959093">
          <w:marLeft w:val="0"/>
          <w:marRight w:val="0"/>
          <w:marTop w:val="0"/>
          <w:marBottom w:val="0"/>
          <w:divBdr>
            <w:top w:val="none" w:sz="0" w:space="0" w:color="auto"/>
            <w:left w:val="none" w:sz="0" w:space="0" w:color="auto"/>
            <w:bottom w:val="none" w:sz="0" w:space="0" w:color="auto"/>
            <w:right w:val="none" w:sz="0" w:space="0" w:color="auto"/>
          </w:divBdr>
        </w:div>
        <w:div w:id="64568097">
          <w:marLeft w:val="0"/>
          <w:marRight w:val="0"/>
          <w:marTop w:val="0"/>
          <w:marBottom w:val="0"/>
          <w:divBdr>
            <w:top w:val="none" w:sz="0" w:space="0" w:color="auto"/>
            <w:left w:val="none" w:sz="0" w:space="0" w:color="auto"/>
            <w:bottom w:val="none" w:sz="0" w:space="0" w:color="auto"/>
            <w:right w:val="none" w:sz="0" w:space="0" w:color="auto"/>
          </w:divBdr>
        </w:div>
        <w:div w:id="1757356555">
          <w:marLeft w:val="0"/>
          <w:marRight w:val="0"/>
          <w:marTop w:val="0"/>
          <w:marBottom w:val="0"/>
          <w:divBdr>
            <w:top w:val="none" w:sz="0" w:space="0" w:color="auto"/>
            <w:left w:val="none" w:sz="0" w:space="0" w:color="auto"/>
            <w:bottom w:val="none" w:sz="0" w:space="0" w:color="auto"/>
            <w:right w:val="none" w:sz="0" w:space="0" w:color="auto"/>
          </w:divBdr>
        </w:div>
        <w:div w:id="458111478">
          <w:marLeft w:val="0"/>
          <w:marRight w:val="0"/>
          <w:marTop w:val="0"/>
          <w:marBottom w:val="0"/>
          <w:divBdr>
            <w:top w:val="none" w:sz="0" w:space="0" w:color="auto"/>
            <w:left w:val="none" w:sz="0" w:space="0" w:color="auto"/>
            <w:bottom w:val="none" w:sz="0" w:space="0" w:color="auto"/>
            <w:right w:val="none" w:sz="0" w:space="0" w:color="auto"/>
          </w:divBdr>
        </w:div>
        <w:div w:id="859514080">
          <w:marLeft w:val="0"/>
          <w:marRight w:val="0"/>
          <w:marTop w:val="0"/>
          <w:marBottom w:val="0"/>
          <w:divBdr>
            <w:top w:val="none" w:sz="0" w:space="0" w:color="auto"/>
            <w:left w:val="none" w:sz="0" w:space="0" w:color="auto"/>
            <w:bottom w:val="none" w:sz="0" w:space="0" w:color="auto"/>
            <w:right w:val="none" w:sz="0" w:space="0" w:color="auto"/>
          </w:divBdr>
        </w:div>
        <w:div w:id="1083839825">
          <w:marLeft w:val="0"/>
          <w:marRight w:val="0"/>
          <w:marTop w:val="0"/>
          <w:marBottom w:val="0"/>
          <w:divBdr>
            <w:top w:val="none" w:sz="0" w:space="0" w:color="auto"/>
            <w:left w:val="none" w:sz="0" w:space="0" w:color="auto"/>
            <w:bottom w:val="none" w:sz="0" w:space="0" w:color="auto"/>
            <w:right w:val="none" w:sz="0" w:space="0" w:color="auto"/>
          </w:divBdr>
        </w:div>
      </w:divsChild>
    </w:div>
    <w:div w:id="1456365039">
      <w:marLeft w:val="0"/>
      <w:marRight w:val="0"/>
      <w:marTop w:val="0"/>
      <w:marBottom w:val="0"/>
      <w:divBdr>
        <w:top w:val="none" w:sz="0" w:space="0" w:color="auto"/>
        <w:left w:val="none" w:sz="0" w:space="0" w:color="auto"/>
        <w:bottom w:val="none" w:sz="0" w:space="0" w:color="auto"/>
        <w:right w:val="none" w:sz="0" w:space="0" w:color="auto"/>
      </w:divBdr>
    </w:div>
    <w:div w:id="153225677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User\Downloads\tx.dll%3fd=101489&amp;a=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2025-09-16T12:49:00Z</dcterms:created>
  <dcterms:modified xsi:type="dcterms:W3CDTF">2025-09-16T12:49:00Z</dcterms:modified>
</cp:coreProperties>
</file>