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  <w:keepNext w:val="0"/>
        <w:keepLines w:val="0"/>
        <w:widowControl/>
        <w:suppressLineNumbers w:val="0"/>
        <w:jc w:val="center"/>
      </w:pPr>
      <w:bookmarkStart w:id="9" w:name="_GoBack"/>
      <w:bookmarkEnd w:id="9"/>
      <w:r>
        <w:rPr>
          <w:lang w:val="ru"/>
        </w:rPr>
        <w:t> </w:t>
      </w:r>
    </w:p>
    <w:p>
      <w:pPr>
        <w:pStyle w:val="29"/>
        <w:keepNext w:val="0"/>
        <w:keepLines w:val="0"/>
        <w:widowControl/>
        <w:suppressLineNumbers w:val="0"/>
        <w:jc w:val="center"/>
      </w:pPr>
      <w:bookmarkStart w:id="0" w:name="a3"/>
      <w:bookmarkEnd w:id="0"/>
      <w:r>
        <w:rPr>
          <w:rStyle w:val="11"/>
          <w:lang w:val="ru"/>
        </w:rPr>
        <w:t>ПОСТАНОВЛЕНИЕ </w:t>
      </w:r>
      <w:r>
        <w:rPr>
          <w:rStyle w:val="10"/>
          <w:lang w:val="ru"/>
        </w:rPr>
        <w:t>СОВЕТА МИНИСТРОВ РЕСПУБЛИКИ БЕЛАРУСЬ</w:t>
      </w:r>
    </w:p>
    <w:p>
      <w:pPr>
        <w:pStyle w:val="31"/>
        <w:keepNext w:val="0"/>
        <w:keepLines w:val="0"/>
        <w:widowControl/>
        <w:suppressLineNumbers w:val="0"/>
        <w:ind w:left="0" w:firstLine="0"/>
        <w:jc w:val="center"/>
      </w:pPr>
      <w:r>
        <w:rPr>
          <w:rStyle w:val="16"/>
          <w:lang w:val="ru"/>
        </w:rPr>
        <w:t>10 сентября 2008 г.</w:t>
      </w:r>
      <w:r>
        <w:rPr>
          <w:rStyle w:val="22"/>
          <w:lang w:val="ru"/>
        </w:rPr>
        <w:t xml:space="preserve"> № 1326</w:t>
      </w:r>
    </w:p>
    <w:p>
      <w:pPr>
        <w:pStyle w:val="6"/>
        <w:widowControl/>
      </w:pPr>
      <w:r>
        <w:rPr>
          <w:color w:val="000080"/>
          <w:lang w:val="ru"/>
        </w:rPr>
        <w:t>О некоторых вопросах размещения объектов придорожного сервиса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t>Изменения и дополнения: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"tx.dll?d=208737&amp;a=1" \l "a1" \o "-"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Постановление</w:t>
      </w:r>
      <w:r>
        <w:rPr>
          <w:lang w:val="ru"/>
        </w:rPr>
        <w:fldChar w:fldCharType="end"/>
      </w:r>
      <w:r>
        <w:rPr>
          <w:lang w:val="ru"/>
        </w:rPr>
        <w:t xml:space="preserve"> Совета Министров Республики Беларусь от 16 марта 2011 г. № 321 (Национальный реестр правовых актов Республики Беларусь, 2011 г., № 35, 5/33480);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"tx.dll?d=234911&amp;a=1" \l "a1" \o "-"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Постановление</w:t>
      </w:r>
      <w:r>
        <w:rPr>
          <w:lang w:val="ru"/>
        </w:rPr>
        <w:fldChar w:fldCharType="end"/>
      </w:r>
      <w:r>
        <w:rPr>
          <w:lang w:val="ru"/>
        </w:rPr>
        <w:t xml:space="preserve"> Совета Министров Республики Беларусь от 28 марта 2012 г. № 277 (Национальный реестр правовых актов Республики Беларусь, 2012 г., № 39, 5/35475);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"tx.dll?d=264890&amp;a=1" \l "a1" \o "-"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Постановление</w:t>
      </w:r>
      <w:r>
        <w:rPr>
          <w:lang w:val="ru"/>
        </w:rPr>
        <w:fldChar w:fldCharType="end"/>
      </w:r>
      <w:r>
        <w:rPr>
          <w:lang w:val="ru"/>
        </w:rPr>
        <w:t xml:space="preserve"> Совета Министров Республики Беларусь от 5 августа 2013 г. № 687 (Национальный правовой Интернет-портал Республики Беларусь, 08.08.2013, 5/37649);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"tx.dll?d=266226&amp;a=1" \l "a1" \o "-"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Постановление</w:t>
      </w:r>
      <w:r>
        <w:rPr>
          <w:lang w:val="ru"/>
        </w:rPr>
        <w:fldChar w:fldCharType="end"/>
      </w:r>
      <w:r>
        <w:rPr>
          <w:lang w:val="ru"/>
        </w:rPr>
        <w:t xml:space="preserve"> Совета Министров Республики Беларусь от 29 августа 2013 г. № 759 (Национальный правовой Интернет-портал Республики Беларусь, 03.09.2013, 5/37736);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"tx.dll?d=284209&amp;a=1" \l "a1" \o "-"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Постановление</w:t>
      </w:r>
      <w:r>
        <w:rPr>
          <w:lang w:val="ru"/>
        </w:rPr>
        <w:fldChar w:fldCharType="end"/>
      </w:r>
      <w:r>
        <w:rPr>
          <w:lang w:val="ru"/>
        </w:rPr>
        <w:t xml:space="preserve"> Совета Министров Республики Беларусь от 9 июля 2014 г. № 660 (Национальный правовой Интернет-портал Республики Беларусь, 12.07.2014, 5/39112)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p>
      <w:pPr>
        <w:pStyle w:val="8"/>
        <w:keepNext w:val="0"/>
        <w:keepLines w:val="0"/>
        <w:widowControl/>
        <w:suppressLineNumbers w:val="0"/>
      </w:pPr>
      <w:r>
        <w:rPr>
          <w:lang w:val="ru"/>
        </w:rPr>
        <w:t>Совет Министров Республики Беларусь ПОСТАНОВЛЯЕТ:</w:t>
      </w:r>
    </w:p>
    <w:p>
      <w:pPr>
        <w:pStyle w:val="17"/>
        <w:keepNext w:val="0"/>
        <w:keepLines w:val="0"/>
        <w:widowControl/>
        <w:suppressLineNumbers w:val="0"/>
      </w:pPr>
      <w:r>
        <w:rPr>
          <w:lang w:val="ru"/>
        </w:rPr>
        <w:t xml:space="preserve">1. Утвердить прилагаемое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"a1"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Положение</w:t>
      </w:r>
      <w:r>
        <w:rPr>
          <w:lang w:val="ru"/>
        </w:rPr>
        <w:fldChar w:fldCharType="end"/>
      </w:r>
      <w:r>
        <w:rPr>
          <w:lang w:val="ru"/>
        </w:rPr>
        <w:t xml:space="preserve"> о порядке размещения, архитектурного оформления и оборудования объектов придорожного сервиса на автомобильных дорогах общего пользования.</w:t>
      </w:r>
    </w:p>
    <w:p>
      <w:pPr>
        <w:pStyle w:val="17"/>
        <w:keepNext w:val="0"/>
        <w:keepLines w:val="0"/>
        <w:widowControl/>
        <w:suppressLineNumbers w:val="0"/>
      </w:pPr>
      <w:bookmarkStart w:id="1" w:name="a12"/>
      <w:bookmarkEnd w:id="1"/>
      <w:r>
        <w:rPr>
          <w:lang w:val="ru"/>
        </w:rPr>
        <w:t>2. 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"tx.dll?d=89812&amp;a=38" \l "a38"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Подпункт 5.54</w:t>
      </w:r>
      <w:r>
        <w:rPr>
          <w:lang w:val="ru"/>
        </w:rPr>
        <w:fldChar w:fldCharType="end"/>
      </w:r>
      <w:r>
        <w:rPr>
          <w:lang w:val="ru"/>
        </w:rPr>
        <w:t xml:space="preserve"> пункта 5 Положения о Министерстве транспорта и коммуникаций Республики Беларусь, утвержденного постановлением Совета Министров Республики Беларусь от 31 июля 2006 г. № 985 «Вопросы Министерства транспорта и коммуникаций Республики Беларусь» (Национальный реестр правовых актов Республики Беларусь, 2006 г., № 141, 5/22781), изложить в следующей редакции:</w:t>
      </w:r>
    </w:p>
    <w:p>
      <w:pPr>
        <w:pStyle w:val="9"/>
        <w:keepNext w:val="0"/>
        <w:keepLines w:val="0"/>
        <w:widowControl/>
        <w:suppressLineNumbers w:val="0"/>
      </w:pPr>
      <w:r>
        <w:rPr>
          <w:rStyle w:val="12"/>
          <w:lang w:val="ru"/>
        </w:rPr>
        <w:t>«</w:t>
      </w:r>
      <w:r>
        <w:rPr>
          <w:lang w:val="ru"/>
        </w:rPr>
        <w:t>5.54. в пределах предоставленных полномочий утверждает генеральные схемы развития придорожного сервиса на республиканских автомобильных дорогах и осуществляет координацию деятельности республиканских органов государственного управления, местных исполнительных и распорядительных органов, юридических лиц, индивидуальных предпринимателей по размещению объектов придорожного сервиса;</w:t>
      </w:r>
      <w:r>
        <w:rPr>
          <w:rStyle w:val="12"/>
          <w:lang w:val="ru"/>
        </w:rPr>
        <w:t>»</w:t>
      </w:r>
      <w:r>
        <w:rPr>
          <w:lang w:val="ru"/>
        </w:rPr>
        <w:t>.</w:t>
      </w:r>
    </w:p>
    <w:p>
      <w:pPr>
        <w:pStyle w:val="17"/>
        <w:keepNext w:val="0"/>
        <w:keepLines w:val="0"/>
        <w:widowControl/>
        <w:suppressLineNumbers w:val="0"/>
      </w:pPr>
      <w:r>
        <w:rPr>
          <w:lang w:val="ru"/>
        </w:rPr>
        <w:t>3. Признать утратившими силу: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"tx.dll?d=1240&amp;a=1" \l "a1"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постановление</w:t>
      </w:r>
      <w:r>
        <w:rPr>
          <w:lang w:val="ru"/>
        </w:rPr>
        <w:fldChar w:fldCharType="end"/>
      </w:r>
      <w:r>
        <w:rPr>
          <w:lang w:val="ru"/>
        </w:rPr>
        <w:t xml:space="preserve"> Совета Министров Республики Беларусь от 29 ноября 2000 г. № 1816 «Об упорядочении размещения и функционирования объектов сервиса на автомобильных дорогах общего пользования» (Национальный реестр правовых актов Республики Беларусь, 2000 г., № 114, 5/4667);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"tx.dll?d=44730&amp;a=227" \l "a227"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пункт 126</w:t>
      </w:r>
      <w:r>
        <w:rPr>
          <w:lang w:val="ru"/>
        </w:rPr>
        <w:fldChar w:fldCharType="end"/>
      </w:r>
      <w:r>
        <w:rPr>
          <w:lang w:val="ru"/>
        </w:rPr>
        <w:t xml:space="preserve"> постановления Совета Министров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5/10103).</w:t>
      </w:r>
    </w:p>
    <w:p>
      <w:pPr>
        <w:pStyle w:val="17"/>
        <w:keepNext w:val="0"/>
        <w:keepLines w:val="0"/>
        <w:widowControl/>
        <w:suppressLineNumbers w:val="0"/>
      </w:pPr>
      <w:bookmarkStart w:id="2" w:name="a4"/>
      <w:bookmarkEnd w:id="2"/>
      <w:r>
        <w:rPr>
          <w:lang w:val="ru"/>
        </w:rPr>
        <w:t>4. Республиканским органам государственного управления и иным государственным организациям, подчиненным Правительству Республики Беларусь, в трехмесячный срок привести свои нормативные правовые акты в соответствие с настоящим постановлением и принять иные меры по его реализации.</w:t>
      </w:r>
    </w:p>
    <w:p>
      <w:pPr>
        <w:pStyle w:val="17"/>
        <w:keepNext w:val="0"/>
        <w:keepLines w:val="0"/>
        <w:widowControl/>
        <w:suppressLineNumbers w:val="0"/>
      </w:pPr>
      <w:r>
        <w:rPr>
          <w:lang w:val="ru"/>
        </w:rPr>
        <w:t>5. Настоящее постановление вступает в силу после его официального опубликования.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tbl>
      <w:tblPr>
        <w:tblStyle w:val="3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9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25"/>
                <w:bdr w:val="none" w:color="auto" w:sz="0" w:space="0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29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26"/>
                <w:bdr w:val="none" w:color="auto" w:sz="0" w:space="0"/>
              </w:rPr>
              <w:t>С.Сидорский</w:t>
            </w:r>
          </w:p>
        </w:tc>
      </w:tr>
    </w:tbl>
    <w:p>
      <w:pPr>
        <w:pStyle w:val="29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tbl>
      <w:tblPr>
        <w:tblStyle w:val="3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3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УТВЕРЖДЕНО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fldChar w:fldCharType="begin"/>
            </w:r>
            <w:r>
              <w:rPr>
                <w:bdr w:val="none" w:color="auto" w:sz="0" w:space="0"/>
              </w:rPr>
              <w:instrText xml:space="preserve"> HYPERLINK "" \l "a3" \o "+" </w:instrText>
            </w:r>
            <w:r>
              <w:rPr>
                <w:bdr w:val="none" w:color="auto" w:sz="0" w:space="0"/>
              </w:rPr>
              <w:fldChar w:fldCharType="separate"/>
            </w:r>
            <w:r>
              <w:rPr>
                <w:rStyle w:val="5"/>
                <w:bdr w:val="none" w:color="auto" w:sz="0" w:space="0"/>
              </w:rPr>
              <w:t>Постановление</w:t>
            </w:r>
            <w:r>
              <w:rPr>
                <w:bdr w:val="none" w:color="auto" w:sz="0" w:space="0"/>
              </w:rPr>
              <w:fldChar w:fldCharType="end"/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 xml:space="preserve">Совета Министров 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Республики Беларусь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10.09.2008 № 1326</w:t>
            </w:r>
          </w:p>
        </w:tc>
      </w:tr>
    </w:tbl>
    <w:p>
      <w:pPr>
        <w:pStyle w:val="28"/>
        <w:keepNext w:val="0"/>
        <w:keepLines w:val="0"/>
        <w:widowControl/>
        <w:suppressLineNumbers w:val="0"/>
      </w:pPr>
      <w:bookmarkStart w:id="3" w:name="a1"/>
      <w:bookmarkEnd w:id="3"/>
      <w:r>
        <w:rPr>
          <w:lang w:val="ru"/>
        </w:rPr>
        <w:t>ПОЛОЖЕНИЕ</w:t>
      </w:r>
      <w:r>
        <w:rPr>
          <w:lang w:val="ru"/>
        </w:rPr>
        <w:br w:type="textWrapping"/>
      </w:r>
      <w:r>
        <w:rPr>
          <w:lang w:val="ru"/>
        </w:rPr>
        <w:t>о порядке размещения, архитектурного оформления</w:t>
      </w:r>
      <w:r>
        <w:rPr>
          <w:lang w:val="ru"/>
        </w:rPr>
        <w:br w:type="textWrapping"/>
      </w:r>
      <w:r>
        <w:rPr>
          <w:lang w:val="ru"/>
        </w:rPr>
        <w:t>и оборудования объектов придорожного сервиса на автомобильных дорогах общего пользования</w:t>
      </w:r>
    </w:p>
    <w:p>
      <w:pPr>
        <w:pStyle w:val="17"/>
        <w:keepNext w:val="0"/>
        <w:keepLines w:val="0"/>
        <w:widowControl/>
        <w:suppressLineNumbers w:val="0"/>
      </w:pPr>
      <w:r>
        <w:rPr>
          <w:lang w:val="ru"/>
        </w:rPr>
        <w:t>1. Настоящим Положением определяется порядок размещения, архитектурного оформления и оборудования объектов придорожного сервиса (за исключением средств наружной рекламы) на автомобильных дорогах общего пользования (далее - автомобильные дороги).</w:t>
      </w:r>
    </w:p>
    <w:p>
      <w:pPr>
        <w:pStyle w:val="17"/>
        <w:keepNext w:val="0"/>
        <w:keepLines w:val="0"/>
        <w:widowControl/>
        <w:suppressLineNumbers w:val="0"/>
      </w:pPr>
      <w:r>
        <w:rPr>
          <w:lang w:val="ru"/>
        </w:rPr>
        <w:t xml:space="preserve">2. В настоящем Положении используются термины и их определения, указанные в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"tx.dll?d=33876&amp;a=60" \l "a60"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Законе</w:t>
      </w:r>
      <w:r>
        <w:rPr>
          <w:lang w:val="ru"/>
        </w:rPr>
        <w:fldChar w:fldCharType="end"/>
      </w:r>
      <w:r>
        <w:rPr>
          <w:lang w:val="ru"/>
        </w:rPr>
        <w:t xml:space="preserve"> Республики Беларусь от 2 декабря 1994 года «Об автомобильных дорогах и дорожной деятельности» в редакции Закона Республики Беларусь от 22 июля 2003 года (Ведамасцi Вярхоўнага Савета Рэспублiкi Беларусь, 1995 г., № 5, ст. 31; Национальный реестр правовых актов Республики Беларусь, 2003 г., № 83, 2/975) и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"tx.dll?d=82914&amp;a=57" \l "a57"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Правилах</w:t>
      </w:r>
      <w:r>
        <w:rPr>
          <w:lang w:val="ru"/>
        </w:rPr>
        <w:fldChar w:fldCharType="end"/>
      </w:r>
      <w:r>
        <w:rPr>
          <w:lang w:val="ru"/>
        </w:rPr>
        <w:t xml:space="preserve"> дорожного движения, утвержденных Указом Президента Республики Беларусь от 28 ноября 2005 г. № 551 «О мерах по повышению безопасности дорожного движения» (Национальный реестр правовых актов Республики Беларусь, 2005 г., № 189, 1/6961).</w:t>
      </w:r>
    </w:p>
    <w:p>
      <w:pPr>
        <w:pStyle w:val="17"/>
        <w:keepNext w:val="0"/>
        <w:keepLines w:val="0"/>
        <w:widowControl/>
        <w:suppressLineNumbers w:val="0"/>
      </w:pPr>
      <w:r>
        <w:rPr>
          <w:lang w:val="ru"/>
        </w:rPr>
        <w:t>3. Координация деятельности республиканских органов государственного управления, местных исполнительных и распорядительных органов, юридических лиц, индивидуальных предпринимателей по размещению объектов придорожного сервиса осуществляется: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на республиканских автомобильных дорогах, а также в местах пересечения республиканских и местных автомобильных дорог на расстоянии 100 метров в обе стороны от оси республиканской автомобильной дороги - Министерством транспорта и коммуникаций;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на местных автомобильных дорогах - облисполкомами.</w:t>
      </w:r>
    </w:p>
    <w:p>
      <w:pPr>
        <w:pStyle w:val="17"/>
        <w:keepNext w:val="0"/>
        <w:keepLines w:val="0"/>
        <w:widowControl/>
        <w:suppressLineNumbers w:val="0"/>
      </w:pPr>
      <w:bookmarkStart w:id="4" w:name="a7"/>
      <w:bookmarkEnd w:id="4"/>
      <w:r>
        <w:rPr>
          <w:lang w:val="ru"/>
        </w:rPr>
        <w:t>4. Размещение объектов придорожного сервиса осуществляется в соответствии с генеральными схемами развития придорожного сервиса, утверждаемыми Министерством транспорта и коммуникаций (на республиканских автомобильных дорогах) или облисполкомами (на местных автомобильных дорогах). При этом на магистральных республиканских автомобильных дорогах с нумерацией «М» или «М/Е» размещение объектов придорожного сервиса осуществляется в местах, предусмотренных генеральной схемой развития придорожного сервиса на республиканских автомобильных дорогах.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На республиканских автомобильных дорогах с нумерацией «Р» размещение объектов придорожного сервиса допускается в местах, не предусмотренных генеральными схемами развития придорожного сервиса, с соблюдением технических условий на инженерно-техническое обеспечение объекта, выдаваемых владельцем автомобильной дороги в соответствии с законодательством об административных процедурах.</w:t>
      </w:r>
    </w:p>
    <w:p>
      <w:pPr>
        <w:pStyle w:val="17"/>
        <w:keepNext w:val="0"/>
        <w:keepLines w:val="0"/>
        <w:widowControl/>
        <w:suppressLineNumbers w:val="0"/>
      </w:pPr>
      <w:r>
        <w:rPr>
          <w:lang w:val="ru"/>
        </w:rPr>
        <w:t>5. Размещение объектов придорожного сервиса осуществляется в придорожной полосе (контролируемой зоне) автомобильной дороги. При размещении многофункциональных объектов придорожного сервиса допускается их строительство в соответствии с проектной документацией на земельном участке, часть которого располагается за пределами придорожной полосы (контролируемой зоны) автомобильной дороги.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В пределах существующих и перспективных границ городов и других населенных пунктов размещение комплексов сервисных услуг осуществляется в соответствии с градостроительными регламентами, установленными генеральными планами населенных пунктов и градостроительными проектами детального планирования. В состав таких комплексов входят автозаправочные станции, объекты торговли и общественного питания, пункты постоя, станции технического обслуживания, охраняемые стоянки, другие объекты, предназначенные для обслуживания и отдыха пользователей автомобильных дорог и жителей населенных пунктов. В первоочередном порядке размещение комплексов сервисных услуг должно осуществляться на автомобильных дорогах, входящих в международные транспортные коридоры II Берлин-Варшава-Минск-Москва-Нижний Новгород и IX В Гомель-Жлобин-Минск-Гудогай-Вильнюс-Калининград вблизи населенных пунктов Брест, Барановичи, Минск, Борисов, Орша, Гомель, Жлобин, Бобруйск, Ошмяны.</w:t>
      </w:r>
    </w:p>
    <w:p>
      <w:pPr>
        <w:pStyle w:val="17"/>
        <w:keepNext w:val="0"/>
        <w:keepLines w:val="0"/>
        <w:widowControl/>
        <w:suppressLineNumbers w:val="0"/>
      </w:pPr>
      <w:r>
        <w:rPr>
          <w:lang w:val="ru"/>
        </w:rPr>
        <w:t>5</w:t>
      </w:r>
      <w:r>
        <w:rPr>
          <w:vertAlign w:val="superscript"/>
          <w:lang w:val="ru"/>
        </w:rPr>
        <w:t>1</w:t>
      </w:r>
      <w:r>
        <w:rPr>
          <w:lang w:val="ru"/>
        </w:rPr>
        <w:t>. Объекты сервиса в зависимости от количества и видов предоставляемых услуг подразделяются на: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объекты первого уровня - площадка для отдыха со стоянкой для автотранспортных средств и благоустроенной территорией (пешеходные дорожки, беседки, отапливаемые санитарно-бытовые помещения, столики со скамьями и малые архитектурные формы);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объекты второго уровня - объект общественного питания дополнительно к объектам первого уровня;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объекты третьего уровня - автозаправочная станция дополнительно к объектам второго уровня.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На объектах второго и третьего уровней возможно дополнительное размещение гостиниц, туристических бюро, станций технического обслуживания, охраняемых стоянок, моек и иных сооружений.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Владельцами республиканских автомобильных дорог обеспечивается строительство за счет средств республиканского бюджета переходно-скоростных полос и площадок для отдыха со стоянками для автотранспортных средств в местах, предусмотренных для размещения объектов придорожного сервиса третьего уровня генеральными схемами развития придорожного сервиса: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при возведении, реконструкции и капитальном ремонте республиканских автомобильных дорог;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в случае принятия облисполкомами в установленном порядке решения об отводе конкретному инвестору земельного участка для строительства объекта придорожного сервиса третьего уровня в таких местах (копия этого решения направляется владельцу республиканской автомобильной дороги).</w:t>
      </w:r>
    </w:p>
    <w:p>
      <w:pPr>
        <w:pStyle w:val="17"/>
        <w:keepNext w:val="0"/>
        <w:keepLines w:val="0"/>
        <w:widowControl/>
        <w:suppressLineNumbers w:val="0"/>
      </w:pPr>
      <w:r>
        <w:rPr>
          <w:lang w:val="ru"/>
        </w:rPr>
        <w:t>6. В технических условиях на инженерно-техническое обеспечение объекта для последующей разработки проектно-сметной документации должны содержаться следующие требования к размещению, архитектурному оформлению и оборудованию объектов придорожного сервиса:</w:t>
      </w:r>
    </w:p>
    <w:p>
      <w:pPr>
        <w:pStyle w:val="9"/>
        <w:keepNext w:val="0"/>
        <w:keepLines w:val="0"/>
        <w:widowControl/>
        <w:suppressLineNumbers w:val="0"/>
      </w:pPr>
      <w:bookmarkStart w:id="5" w:name="a6"/>
      <w:bookmarkEnd w:id="5"/>
      <w:r>
        <w:rPr>
          <w:lang w:val="ru"/>
        </w:rPr>
        <w:t>6.1. требования к размещению объектов придорожного сервиса: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при размещении объектов придорожного сервиса не допускается ухудшение видимости и (или) условий эксплуатации автомобильных дорог, их пропускной способности и других условий безопасности дорожного движения;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на автомобильных дорогах с разделительной полосой между встречными направлениями движения, как правило, предусматривается двустороннее размещение объектов придорожного сервиса с обязательной установкой дорожного ограждения на разделительной полосе в пределах переходно-скоростных полос;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объекты придорожного сервиса, имеющие заглубленные (стационарные) фундаменты, размещаются не ближе 50 метров от кромки проезжей части автомобильных дорог;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при размещении объектов придорожного сервиса, имеющих заглубленные (стационарные) фундаменты, предусматриваются виды сервисных услуг в зависимости от уровня объектов;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подъезды к объектам придорожного сервиса, их территориям, а также сами объекты и прилегающие к ним участки автомобильных дорог устраиваются и оборудуются необходимыми техническими средствами организации дорожного движения в соответствии с требованиями технических нормативных правовых актов;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въезды на территории объектов придорожного сервиса и выезды из них должны быть с односторонним движением, при этом на участках республиканских автомобильных дорог I и II категории выезды из территорий объектов придорожного сервиса должны располагаться по ходу движения после въездов на эти территории;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при реконструкции объектов придорожного сервиса, осуществляемой без сноса объекта, допускается размещение вновь пристраиваемых зданий и сооружений на расстоянии ближе 50 метров от края проезжей части, в случае если они возводятся не ближе имеющегося расстояния от реконструируемых зданий и сооружений до края проезжей части;</w:t>
      </w:r>
    </w:p>
    <w:p>
      <w:pPr>
        <w:pStyle w:val="9"/>
        <w:keepNext w:val="0"/>
        <w:keepLines w:val="0"/>
        <w:widowControl/>
        <w:suppressLineNumbers w:val="0"/>
      </w:pPr>
      <w:bookmarkStart w:id="6" w:name="a8"/>
      <w:bookmarkEnd w:id="6"/>
      <w:r>
        <w:rPr>
          <w:lang w:val="ru"/>
        </w:rPr>
        <w:t>6.2. требования к архитектурному оформлению и оборудованию объектов придорожного сервиса: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архитектурное решение объектов придорожного сервиса увязывается со сложившимся архитектурным ансамблем автомобильных дорог, а их внешний вид должен соответствовать эстетическим требованиям;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фасады объектов придорожного сервиса по материалу и цветовому решению выполняются в едином стиле для всего объекта придорожного сервиса;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оформление интерьера объектов придорожного сервиса, как правило, выполняется в национальных традициях с использованием местного колорита;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на автомобильных дорогах с разделительной полосой между встречными направлениями движения предусматривается обязательное освещение участка автомобильной дороги, прилегающего к объекту, в пределах переходно-скоростных полос;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на автомобильных дорогах без разделительной полосы между встречными направлениями движения предусматривается обязательное освещение участка автомобильной дороги, прилегающего к объекту, на расстояние не менее 75 метров в обе стороны от объекта;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на автомобильных дорогах с разделительной полосой между встречными направлениями движения для вновь строящихся объектов придорожного сервиса не допускается устройство пешеходных переходов в одном уровне с автомобильной дорогой;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объекты придорожного сервиса оборудуются световыми информационными панно-указателями названия объекта, видимыми в темное время суток;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объекты придорожного сервиса должны быть обеспечены автомобильными стоянками, контейнерами для мусора, электроснабжением, водоснабжением, канализацией и освещением;</w:t>
      </w:r>
    </w:p>
    <w:p>
      <w:pPr>
        <w:pStyle w:val="31"/>
        <w:keepNext w:val="0"/>
        <w:keepLines w:val="0"/>
        <w:widowControl/>
        <w:suppressLineNumbers w:val="0"/>
      </w:pPr>
      <w:bookmarkStart w:id="7" w:name="a11"/>
      <w:bookmarkEnd w:id="7"/>
      <w:r>
        <w:rPr>
          <w:lang w:val="ru"/>
        </w:rPr>
        <w:t>при возведении или реконструкции автозаправочных станций на республиканских автомобильных дорогах с нумерацией «М», «М/Е» или «Р» данный объект придорожного сервиса должен быть обеспечен стационарным торговым объектом, объектом общественного питания, автомобильной стоянкой не менее чем на два автобуса, пять грузовых и пять легковых автомобилей;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объекты придорожного сервиса должны быть оборудованы специально обозначенными парковочными местами для стоянки автотранспортного средства, управляемого лицом с ограниченными физическими возможностями или перевозящего такое лицо;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на территории объекта придорожного сервиса должна обеспечиваться возможность беспрепятственного передвижения лиц с ограниченными физическими возможностями, а также их доступа в здания и сооружения и передвижение внутри этих объектов;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автозаправочные станции должны быть снабжены устройством вызова оператора для помощи в заправке автотранспортного средства, управляемого лицом с ограниченными физическими возможностями или перевозящего такое лицо;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объекты придорожного сервиса в соответствии с проектно-сметной документацией должны быть оборудованы отапливаемыми санитарно-бытовыми помещениями для посетителей с возможностью использования их лицами с ограниченными физическими возможностями.</w:t>
      </w:r>
    </w:p>
    <w:p>
      <w:pPr>
        <w:pStyle w:val="17"/>
        <w:keepNext w:val="0"/>
        <w:keepLines w:val="0"/>
        <w:widowControl/>
        <w:suppressLineNumbers w:val="0"/>
      </w:pPr>
      <w:bookmarkStart w:id="8" w:name="a5"/>
      <w:bookmarkEnd w:id="8"/>
      <w:r>
        <w:rPr>
          <w:lang w:val="ru"/>
        </w:rPr>
        <w:t>7. Генеральный план объекта придорожного сервиса согласовывается с территориальным органом архитектуры и градостроительства, выдавшим архитектурно-планировочное задание.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Согласование места размещения объекта придорожного сервиса и выдача технических условий на инженерно-техническое обеспечение объекта осуществляются владельцами автомобильных дорог в пределах их компетенции в срок не более трех рабочих дней. При этом согласование места размещения объекта придорожного сервиса и выдача технических условий на инженерно-техническое обеспечение объекта осуществляются бесплатно.</w:t>
      </w:r>
    </w:p>
    <w:p>
      <w:pPr>
        <w:pStyle w:val="17"/>
        <w:keepNext w:val="0"/>
        <w:keepLines w:val="0"/>
        <w:widowControl/>
        <w:suppressLineNumbers w:val="0"/>
      </w:pPr>
      <w:r>
        <w:rPr>
          <w:lang w:val="ru"/>
        </w:rPr>
        <w:t>8. Контроль за соблюдением порядка размещения, архитектурного оформления и оборудования объектов придорожного сервиса осуществляется уполномоченными государственными органами, а также владельцами автомобильных дорог в пределах их компетенции.</w:t>
      </w:r>
    </w:p>
    <w:p>
      <w:pPr>
        <w:pStyle w:val="31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sectPr>
      <w:pgSz w:w="12240" w:h="15840"/>
      <w:pgMar w:top="720" w:right="720" w:bottom="720" w:left="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B570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TML Acronym"/>
    <w:basedOn w:val="2"/>
    <w:uiPriority w:val="0"/>
    <w:rPr>
      <w:color w:val="000000"/>
      <w:shd w:val="clear" w:fill="FFFF00"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paragraph" w:styleId="6">
    <w:name w:val="Title"/>
    <w:qFormat/>
    <w:uiPriority w:val="0"/>
    <w:pPr>
      <w:keepNext w:val="0"/>
      <w:keepLines w:val="0"/>
      <w:widowControl/>
      <w:suppressLineNumbers w:val="0"/>
      <w:spacing w:before="360" w:beforeAutospacing="0" w:after="360" w:afterAutospacing="0"/>
      <w:ind w:left="0" w:right="2270" w:firstLine="0"/>
      <w:jc w:val="left"/>
    </w:pPr>
    <w:rPr>
      <w:rFonts w:eastAsia="Times New Roman"/>
      <w:b/>
      <w:bCs/>
      <w:kern w:val="0"/>
      <w:sz w:val="24"/>
      <w:szCs w:val="24"/>
      <w:lang w:val="en-US" w:eastAsia="zh-CN" w:bidi="ar"/>
    </w:rPr>
  </w:style>
  <w:style w:type="character" w:customStyle="1" w:styleId="7">
    <w:name w:val="bigsimbol"/>
    <w:uiPriority w:val="0"/>
    <w:rPr>
      <w:rFonts w:hint="default" w:ascii="Times New Roman" w:hAnsi="Times New Roman" w:cs="Times New Roman"/>
      <w:caps/>
    </w:rPr>
  </w:style>
  <w:style w:type="paragraph" w:customStyle="1" w:styleId="8">
    <w:name w:val="preamble"/>
    <w:uiPriority w:val="0"/>
    <w:pPr>
      <w:spacing w:before="160" w:beforeAutospacing="0" w:after="16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9">
    <w:name w:val="underpoint"/>
    <w:uiPriority w:val="0"/>
    <w:pPr>
      <w:spacing w:before="160" w:beforeAutospacing="0" w:after="16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character" w:customStyle="1" w:styleId="10">
    <w:name w:val="promulgator"/>
    <w:uiPriority w:val="0"/>
    <w:rPr>
      <w:rFonts w:hint="default" w:ascii="Times New Roman" w:hAnsi="Times New Roman" w:cs="Times New Roman"/>
      <w:b/>
      <w:bCs/>
      <w:caps/>
    </w:rPr>
  </w:style>
  <w:style w:type="character" w:customStyle="1" w:styleId="11">
    <w:name w:val="name"/>
    <w:uiPriority w:val="0"/>
    <w:rPr>
      <w:rFonts w:hint="default" w:ascii="Times New Roman" w:hAnsi="Times New Roman" w:cs="Times New Roman"/>
      <w:b/>
      <w:bCs/>
      <w:caps/>
    </w:rPr>
  </w:style>
  <w:style w:type="character" w:customStyle="1" w:styleId="12">
    <w:name w:val="rednoun"/>
    <w:uiPriority w:val="0"/>
  </w:style>
  <w:style w:type="character" w:customStyle="1" w:styleId="13">
    <w:name w:val="onewind3"/>
    <w:uiPriority w:val="0"/>
    <w:rPr>
      <w:rFonts w:ascii="Wingdings 3" w:hAnsi="Wingdings 3" w:eastAsia="Wingdings 3" w:cs="Wingdings 3"/>
    </w:rPr>
  </w:style>
  <w:style w:type="character" w:customStyle="1" w:styleId="14">
    <w:name w:val="onesymbol"/>
    <w:uiPriority w:val="0"/>
    <w:rPr>
      <w:rFonts w:ascii="Symbol" w:hAnsi="Symbol" w:cs="Symbol"/>
    </w:rPr>
  </w:style>
  <w:style w:type="character" w:customStyle="1" w:styleId="15">
    <w:name w:val="onewind2"/>
    <w:uiPriority w:val="0"/>
    <w:rPr>
      <w:rFonts w:ascii="Wingdings 2" w:hAnsi="Wingdings 2" w:eastAsia="Wingdings 2" w:cs="Wingdings 2"/>
    </w:rPr>
  </w:style>
  <w:style w:type="character" w:customStyle="1" w:styleId="16">
    <w:name w:val="datepr"/>
    <w:uiPriority w:val="0"/>
    <w:rPr>
      <w:rFonts w:hint="default" w:ascii="Times New Roman" w:hAnsi="Times New Roman" w:cs="Times New Roman"/>
      <w:i/>
      <w:iCs/>
    </w:rPr>
  </w:style>
  <w:style w:type="paragraph" w:customStyle="1" w:styleId="17">
    <w:name w:val="point"/>
    <w:uiPriority w:val="0"/>
    <w:pPr>
      <w:spacing w:before="160" w:beforeAutospacing="0" w:after="16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character" w:customStyle="1" w:styleId="18">
    <w:name w:val="roman"/>
    <w:uiPriority w:val="0"/>
    <w:rPr>
      <w:rFonts w:ascii="Arial" w:hAnsi="Arial" w:cs="Arial"/>
    </w:rPr>
  </w:style>
  <w:style w:type="character" w:customStyle="1" w:styleId="19">
    <w:name w:val="datecity"/>
    <w:uiPriority w:val="0"/>
    <w:rPr>
      <w:rFonts w:hint="default" w:ascii="Times New Roman" w:hAnsi="Times New Roman" w:cs="Times New Roman"/>
      <w:i/>
      <w:iCs/>
      <w:sz w:val="24"/>
      <w:szCs w:val="24"/>
    </w:rPr>
  </w:style>
  <w:style w:type="character" w:customStyle="1" w:styleId="20">
    <w:name w:val="datereg"/>
    <w:uiPriority w:val="0"/>
    <w:rPr>
      <w:rFonts w:hint="default" w:ascii="Times New Roman" w:hAnsi="Times New Roman" w:cs="Times New Roman"/>
    </w:rPr>
  </w:style>
  <w:style w:type="character" w:customStyle="1" w:styleId="21">
    <w:name w:val="onewind"/>
    <w:uiPriority w:val="0"/>
    <w:rPr>
      <w:rFonts w:ascii="Wingdings" w:hAnsi="Wingdings" w:cs="Wingdings"/>
    </w:rPr>
  </w:style>
  <w:style w:type="character" w:customStyle="1" w:styleId="22">
    <w:name w:val="number"/>
    <w:uiPriority w:val="0"/>
    <w:rPr>
      <w:rFonts w:hint="default" w:ascii="Times New Roman" w:hAnsi="Times New Roman" w:cs="Times New Roman"/>
      <w:i/>
      <w:iCs/>
    </w:rPr>
  </w:style>
  <w:style w:type="character" w:customStyle="1" w:styleId="23">
    <w:name w:val="razr"/>
    <w:uiPriority w:val="0"/>
    <w:rPr>
      <w:rFonts w:hint="default" w:ascii="Times New Roman" w:hAnsi="Times New Roman" w:cs="Times New Roman"/>
      <w:spacing w:val="20"/>
    </w:rPr>
  </w:style>
  <w:style w:type="character" w:customStyle="1" w:styleId="24">
    <w:name w:val="arabic"/>
    <w:uiPriority w:val="0"/>
    <w:rPr>
      <w:rFonts w:hint="default" w:ascii="Times New Roman" w:hAnsi="Times New Roman" w:cs="Times New Roman"/>
    </w:rPr>
  </w:style>
  <w:style w:type="character" w:customStyle="1" w:styleId="25">
    <w:name w:val="post"/>
    <w:uiPriority w:val="0"/>
    <w:rPr>
      <w:rFonts w:hint="default" w:ascii="Times New Roman" w:hAnsi="Times New Roman" w:cs="Times New Roman"/>
      <w:b/>
      <w:bCs/>
      <w:i/>
      <w:iCs/>
      <w:sz w:val="22"/>
      <w:szCs w:val="22"/>
    </w:rPr>
  </w:style>
  <w:style w:type="character" w:customStyle="1" w:styleId="26">
    <w:name w:val="pers"/>
    <w:uiPriority w:val="0"/>
    <w:rPr>
      <w:rFonts w:hint="default" w:ascii="Times New Roman" w:hAnsi="Times New Roman" w:cs="Times New Roman"/>
      <w:b/>
      <w:bCs/>
      <w:i/>
      <w:iCs/>
      <w:sz w:val="22"/>
      <w:szCs w:val="22"/>
    </w:rPr>
  </w:style>
  <w:style w:type="character" w:customStyle="1" w:styleId="27">
    <w:name w:val="articlec"/>
    <w:uiPriority w:val="0"/>
    <w:rPr>
      <w:rFonts w:hint="default" w:ascii="Times New Roman" w:hAnsi="Times New Roman" w:cs="Times New Roman"/>
      <w:b/>
      <w:bCs/>
    </w:rPr>
  </w:style>
  <w:style w:type="paragraph" w:customStyle="1" w:styleId="28">
    <w:name w:val="titleu"/>
    <w:uiPriority w:val="0"/>
    <w:pPr>
      <w:spacing w:before="360" w:beforeAutospacing="0" w:after="360" w:afterAutospacing="0"/>
      <w:ind w:left="0" w:right="0" w:firstLine="0"/>
      <w:jc w:val="left"/>
    </w:pPr>
    <w:rPr>
      <w:rFonts w:hint="default" w:ascii="Times New Roman" w:hAnsi="Times New Roman" w:cs="Times New Roman"/>
      <w:b/>
      <w:bCs/>
      <w:kern w:val="0"/>
      <w:sz w:val="24"/>
      <w:szCs w:val="24"/>
      <w:lang w:val="en-US" w:eastAsia="zh-CN" w:bidi="ar"/>
    </w:rPr>
  </w:style>
  <w:style w:type="paragraph" w:customStyle="1" w:styleId="29">
    <w:name w:val="newncpi0"/>
    <w:uiPriority w:val="0"/>
    <w:pPr>
      <w:spacing w:before="160" w:beforeAutospacing="0" w:after="160" w:afterAutospacing="0"/>
      <w:ind w:left="0" w:right="0" w:firstLine="0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30">
    <w:name w:val="changeadd"/>
    <w:uiPriority w:val="0"/>
    <w:pPr>
      <w:spacing w:before="0" w:beforeAutospacing="0" w:after="0" w:afterAutospacing="0"/>
      <w:ind w:left="1135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31">
    <w:name w:val="newncpi"/>
    <w:uiPriority w:val="0"/>
    <w:pPr>
      <w:spacing w:before="160" w:beforeAutospacing="0" w:after="16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32">
    <w:name w:val="changei"/>
    <w:uiPriority w:val="0"/>
    <w:pPr>
      <w:spacing w:before="0" w:beforeAutospacing="0" w:after="0" w:afterAutospacing="0"/>
      <w:ind w:left="1020" w:right="0" w:firstLine="0"/>
      <w:jc w:val="left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33">
    <w:name w:val="cap1"/>
    <w:uiPriority w:val="0"/>
    <w:pPr>
      <w:spacing w:before="0" w:beforeAutospacing="0" w:after="0" w:afterAutospacing="0"/>
      <w:ind w:left="0" w:right="0" w:firstLine="0"/>
      <w:jc w:val="left"/>
    </w:pPr>
    <w:rPr>
      <w:rFonts w:hint="default" w:ascii="Times New Roman" w:hAnsi="Times New Roman" w:cs="Times New Roman"/>
      <w:i/>
      <w:iCs/>
      <w:kern w:val="0"/>
      <w:sz w:val="22"/>
      <w:szCs w:val="22"/>
      <w:lang w:val="en-US" w:eastAsia="zh-CN" w:bidi="ar"/>
    </w:rPr>
  </w:style>
  <w:style w:type="paragraph" w:customStyle="1" w:styleId="34">
    <w:name w:val="capu1"/>
    <w:uiPriority w:val="0"/>
    <w:pPr>
      <w:spacing w:before="0" w:beforeAutospacing="0" w:after="120" w:afterAutospacing="0"/>
      <w:ind w:left="0" w:right="0" w:firstLine="0"/>
      <w:jc w:val="left"/>
    </w:pPr>
    <w:rPr>
      <w:rFonts w:hint="default" w:ascii="Times New Roman" w:hAnsi="Times New Roman" w:cs="Times New Roman"/>
      <w:i/>
      <w:iCs/>
      <w:kern w:val="0"/>
      <w:sz w:val="22"/>
      <w:szCs w:val="22"/>
      <w:lang w:val="en-US" w:eastAsia="zh-CN" w:bidi="ar"/>
    </w:rPr>
  </w:style>
  <w:style w:type="table" w:customStyle="1" w:styleId="35">
    <w:name w:val="tablencpi"/>
    <w:uiPriority w:val="0"/>
    <w:tblPr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Office_11.2.0.11191_F1E327BC-269C-435d-A152-05C5408002CA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2022-07-22T09:36:13Z</dcterms:created>
  <dc:creator>User</dc:creator>
  <cp:lastModifiedBy>User</cp:lastModifiedBy>
  <dcterms:modified xsi:type="dcterms:W3CDTF">2022-07-22T09:38:46Z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B9434E5E47184F5385C543C13898F6BF</vt:lpwstr>
  </property>
</Properties>
</file>